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5015" w14:textId="25CE3B33" w:rsidR="00BC4D2A" w:rsidRPr="00250F96" w:rsidRDefault="00BC4D2A" w:rsidP="006756E3">
      <w:pPr>
        <w:jc w:val="both"/>
        <w:rPr>
          <w:rFonts w:ascii="Arial" w:hAnsi="Arial" w:cs="Arial"/>
          <w:sz w:val="20"/>
          <w:szCs w:val="20"/>
        </w:rPr>
      </w:pPr>
    </w:p>
    <w:tbl>
      <w:tblPr>
        <w:tblW w:w="5000" w:type="pct"/>
        <w:tblBorders>
          <w:top w:val="outset" w:sz="6" w:space="0" w:color="auto"/>
          <w:left w:val="outset" w:sz="6" w:space="0" w:color="auto"/>
          <w:bottom w:val="outset" w:sz="6" w:space="0" w:color="auto"/>
          <w:right w:val="outset" w:sz="6" w:space="0" w:color="auto"/>
        </w:tblBorders>
        <w:shd w:val="clear" w:color="auto" w:fill="CCCCCC"/>
        <w:tblCellMar>
          <w:top w:w="150" w:type="dxa"/>
          <w:left w:w="150" w:type="dxa"/>
          <w:bottom w:w="150" w:type="dxa"/>
          <w:right w:w="150" w:type="dxa"/>
        </w:tblCellMar>
        <w:tblLook w:val="04A0" w:firstRow="1" w:lastRow="0" w:firstColumn="1" w:lastColumn="0" w:noHBand="0" w:noVBand="1"/>
      </w:tblPr>
      <w:tblGrid>
        <w:gridCol w:w="9056"/>
      </w:tblGrid>
      <w:tr w:rsidR="00BC4D2A" w:rsidRPr="00250F96" w14:paraId="07032B68" w14:textId="77777777" w:rsidTr="00BC4D2A">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826E3EE"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b/>
                <w:bCs/>
                <w:sz w:val="20"/>
                <w:szCs w:val="20"/>
                <w:lang w:eastAsia="sl-SI"/>
              </w:rPr>
              <w:t>Template for the provision of information to third-country nationals about the processing of personal data in the Entry/Exit System</w:t>
            </w:r>
          </w:p>
        </w:tc>
      </w:tr>
    </w:tbl>
    <w:p w14:paraId="1FA4F7B2" w14:textId="5EFF3BCF"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The Entry/Exit System </w:t>
      </w:r>
      <w:hyperlink r:id="rId7" w:anchor="ntr1-L_2022201EN.01005101-E0001"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1</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contains personal data records on third-country nationals coming to the territory of the Member States </w:t>
      </w:r>
      <w:hyperlink r:id="rId8" w:anchor="ntr2-L_2022201EN.01005101-E0002"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2</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for a short stay (maximum of 90 days in any 180-day period). The system bec</w:t>
      </w:r>
      <w:r w:rsidR="00F918CE">
        <w:rPr>
          <w:rFonts w:ascii="Arial" w:eastAsia="Times New Roman" w:hAnsi="Arial" w:cs="Arial"/>
          <w:color w:val="000000"/>
          <w:sz w:val="20"/>
          <w:szCs w:val="20"/>
          <w:lang w:eastAsia="sl-SI"/>
        </w:rPr>
        <w:t xml:space="preserve">omes </w:t>
      </w:r>
      <w:r w:rsidRPr="00250F96">
        <w:rPr>
          <w:rFonts w:ascii="Arial" w:eastAsia="Times New Roman" w:hAnsi="Arial" w:cs="Arial"/>
          <w:color w:val="000000"/>
          <w:sz w:val="20"/>
          <w:szCs w:val="20"/>
          <w:lang w:eastAsia="sl-SI"/>
        </w:rPr>
        <w:t xml:space="preserve">operational on </w:t>
      </w:r>
      <w:r w:rsidR="00F918CE">
        <w:rPr>
          <w:rFonts w:ascii="Arial" w:eastAsia="Times New Roman" w:hAnsi="Arial" w:cs="Arial"/>
          <w:color w:val="000000"/>
          <w:sz w:val="20"/>
          <w:szCs w:val="20"/>
          <w:lang w:eastAsia="sl-SI"/>
        </w:rPr>
        <w:t>12 October 2025</w:t>
      </w:r>
      <w:r w:rsidRPr="00250F96">
        <w:rPr>
          <w:rFonts w:ascii="Arial" w:eastAsia="Times New Roman" w:hAnsi="Arial" w:cs="Arial"/>
          <w:color w:val="000000"/>
          <w:sz w:val="20"/>
          <w:szCs w:val="20"/>
          <w:lang w:eastAsia="sl-SI"/>
        </w:rPr>
        <w:t>. As of this date, information about your entries into and exits out of the territory of the Member States, and, if applicable, information on whether you have been refused entry, is registered in the Entry/Exit System.</w:t>
      </w:r>
    </w:p>
    <w:p w14:paraId="16BF2303" w14:textId="7F8692FE"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To this end, your data is collected and processed on behalf of</w:t>
      </w:r>
      <w:r w:rsidR="00167A62">
        <w:rPr>
          <w:rFonts w:ascii="Arial" w:eastAsia="Times New Roman" w:hAnsi="Arial" w:cs="Arial"/>
          <w:color w:val="000000"/>
          <w:sz w:val="20"/>
          <w:szCs w:val="20"/>
          <w:lang w:eastAsia="sl-SI"/>
        </w:rPr>
        <w:t xml:space="preserve"> </w:t>
      </w:r>
      <w:r w:rsidR="00167A62" w:rsidRPr="00250F96">
        <w:rPr>
          <w:rFonts w:ascii="Arial" w:eastAsia="Times New Roman" w:hAnsi="Arial" w:cs="Arial"/>
          <w:i/>
          <w:iCs/>
          <w:color w:val="000000"/>
          <w:sz w:val="20"/>
          <w:szCs w:val="20"/>
          <w:lang w:eastAsia="sl-SI"/>
        </w:rPr>
        <w:t>Republik</w:t>
      </w:r>
      <w:r w:rsidR="00167A62">
        <w:rPr>
          <w:rFonts w:ascii="Arial" w:eastAsia="Times New Roman" w:hAnsi="Arial" w:cs="Arial"/>
          <w:i/>
          <w:iCs/>
          <w:color w:val="000000"/>
          <w:sz w:val="20"/>
          <w:szCs w:val="20"/>
          <w:lang w:eastAsia="sl-SI"/>
        </w:rPr>
        <w:t>a</w:t>
      </w:r>
      <w:r w:rsidR="00167A62" w:rsidRPr="00250F96">
        <w:rPr>
          <w:rFonts w:ascii="Arial" w:eastAsia="Times New Roman" w:hAnsi="Arial" w:cs="Arial"/>
          <w:i/>
          <w:iCs/>
          <w:color w:val="000000"/>
          <w:sz w:val="20"/>
          <w:szCs w:val="20"/>
          <w:lang w:eastAsia="sl-SI"/>
        </w:rPr>
        <w:t xml:space="preserve"> Slovenij</w:t>
      </w:r>
      <w:r w:rsidR="00167A62">
        <w:rPr>
          <w:rFonts w:ascii="Arial" w:eastAsia="Times New Roman" w:hAnsi="Arial" w:cs="Arial"/>
          <w:i/>
          <w:iCs/>
          <w:color w:val="000000"/>
          <w:sz w:val="20"/>
          <w:szCs w:val="20"/>
          <w:lang w:eastAsia="sl-SI"/>
        </w:rPr>
        <w:t>a</w:t>
      </w:r>
      <w:r w:rsidR="00167A62" w:rsidRPr="00250F96">
        <w:rPr>
          <w:rFonts w:ascii="Arial" w:eastAsia="Times New Roman" w:hAnsi="Arial" w:cs="Arial"/>
          <w:i/>
          <w:iCs/>
          <w:color w:val="000000"/>
          <w:sz w:val="20"/>
          <w:szCs w:val="20"/>
          <w:lang w:eastAsia="sl-SI"/>
        </w:rPr>
        <w:t>, Ministrstv</w:t>
      </w:r>
      <w:r w:rsidR="00167A62">
        <w:rPr>
          <w:rFonts w:ascii="Arial" w:eastAsia="Times New Roman" w:hAnsi="Arial" w:cs="Arial"/>
          <w:i/>
          <w:iCs/>
          <w:color w:val="000000"/>
          <w:sz w:val="20"/>
          <w:szCs w:val="20"/>
          <w:lang w:eastAsia="sl-SI"/>
        </w:rPr>
        <w:t>o</w:t>
      </w:r>
      <w:r w:rsidR="00167A62" w:rsidRPr="00250F96">
        <w:rPr>
          <w:rFonts w:ascii="Arial" w:eastAsia="Times New Roman" w:hAnsi="Arial" w:cs="Arial"/>
          <w:i/>
          <w:iCs/>
          <w:color w:val="000000"/>
          <w:sz w:val="20"/>
          <w:szCs w:val="20"/>
          <w:lang w:eastAsia="sl-SI"/>
        </w:rPr>
        <w:t xml:space="preserve"> za notranje zadeve, Policij</w:t>
      </w:r>
      <w:r w:rsidR="00167A62">
        <w:rPr>
          <w:rFonts w:ascii="Arial" w:eastAsia="Times New Roman" w:hAnsi="Arial" w:cs="Arial"/>
          <w:i/>
          <w:iCs/>
          <w:color w:val="000000"/>
          <w:sz w:val="20"/>
          <w:szCs w:val="20"/>
          <w:lang w:eastAsia="sl-SI"/>
        </w:rPr>
        <w:t>a</w:t>
      </w:r>
      <w:r w:rsidR="00167A62" w:rsidRPr="00250F96">
        <w:rPr>
          <w:rFonts w:ascii="Arial" w:eastAsia="Times New Roman" w:hAnsi="Arial" w:cs="Arial"/>
          <w:color w:val="000000"/>
          <w:sz w:val="20"/>
          <w:szCs w:val="20"/>
          <w:lang w:eastAsia="sl-SI"/>
        </w:rPr>
        <w:t> </w:t>
      </w:r>
      <w:r w:rsidRPr="00250F96">
        <w:rPr>
          <w:rFonts w:ascii="Arial" w:eastAsia="Times New Roman" w:hAnsi="Arial" w:cs="Arial"/>
          <w:color w:val="000000"/>
          <w:sz w:val="20"/>
          <w:szCs w:val="20"/>
          <w:lang w:eastAsia="sl-SI"/>
        </w:rPr>
        <w:t>. </w:t>
      </w:r>
      <w:r w:rsidRPr="00250F96">
        <w:rPr>
          <w:rFonts w:ascii="Arial" w:eastAsia="Times New Roman" w:hAnsi="Arial" w:cs="Arial"/>
          <w:i/>
          <w:iCs/>
          <w:color w:val="000000"/>
          <w:sz w:val="20"/>
          <w:szCs w:val="20"/>
          <w:lang w:eastAsia="sl-SI"/>
        </w:rPr>
        <w:t>Please see below the contact details.</w:t>
      </w:r>
      <w:r w:rsidRPr="00250F96">
        <w:rPr>
          <w:rFonts w:ascii="Arial" w:eastAsia="Times New Roman" w:hAnsi="Arial" w:cs="Arial"/>
          <w:color w:val="000000"/>
          <w:sz w:val="20"/>
          <w:szCs w:val="20"/>
          <w:lang w:eastAsia="sl-SI"/>
        </w:rPr>
        <w:t> Your personal data is processed for the purposes of border management, preventing irregular immigration and facilitating the management of migration flows. This is required in accordance with Regulation (EU) 2017/2226 </w:t>
      </w:r>
      <w:hyperlink r:id="rId9" w:anchor="ntr3-L_2022201EN.01005101-E0003"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3</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specifically Articles 14, 16 to 19 and 23 of Chapter II and Chapter III of the Regulation</w:t>
      </w:r>
    </w:p>
    <w:p w14:paraId="3DAED82C"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What data is collected, recorded and processed?</w:t>
      </w:r>
    </w:p>
    <w:p w14:paraId="77A7DEA8"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During checks at the external borders of the Member States, the collection of your personal data is mandatory for the examination of entry conditions. The following personal data is collected and recorded:</w:t>
      </w:r>
    </w:p>
    <w:tbl>
      <w:tblPr>
        <w:tblW w:w="5000" w:type="pct"/>
        <w:tblCellMar>
          <w:left w:w="0" w:type="dxa"/>
          <w:right w:w="0" w:type="dxa"/>
        </w:tblCellMar>
        <w:tblLook w:val="04A0" w:firstRow="1" w:lastRow="0" w:firstColumn="1" w:lastColumn="0" w:noHBand="0" w:noVBand="1"/>
      </w:tblPr>
      <w:tblGrid>
        <w:gridCol w:w="595"/>
        <w:gridCol w:w="8477"/>
      </w:tblGrid>
      <w:tr w:rsidR="00BC4D2A" w:rsidRPr="00250F96" w14:paraId="0CA2D675" w14:textId="77777777" w:rsidTr="00BC4D2A">
        <w:tc>
          <w:tcPr>
            <w:tcW w:w="0" w:type="auto"/>
            <w:shd w:val="clear" w:color="auto" w:fill="auto"/>
            <w:hideMark/>
          </w:tcPr>
          <w:p w14:paraId="7E15C897"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24BD48E9"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data listed in your travel document; and</w:t>
            </w:r>
          </w:p>
        </w:tc>
      </w:tr>
    </w:tbl>
    <w:p w14:paraId="5E0A08BD"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417"/>
        <w:gridCol w:w="8655"/>
      </w:tblGrid>
      <w:tr w:rsidR="00BC4D2A" w:rsidRPr="00250F96" w14:paraId="4F45ED72" w14:textId="77777777" w:rsidTr="00BC4D2A">
        <w:tc>
          <w:tcPr>
            <w:tcW w:w="0" w:type="auto"/>
            <w:shd w:val="clear" w:color="auto" w:fill="auto"/>
            <w:hideMark/>
          </w:tcPr>
          <w:p w14:paraId="41FE2A61"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4EAC9E68"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biometric data: from your facial image and fingerprints </w:t>
            </w:r>
            <w:hyperlink r:id="rId10" w:anchor="ntr4-L_2022201EN.01005101-E0004"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4</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sz w:val="20"/>
                <w:szCs w:val="20"/>
                <w:lang w:eastAsia="sl-SI"/>
              </w:rPr>
              <w:t>.</w:t>
            </w:r>
          </w:p>
        </w:tc>
      </w:tr>
    </w:tbl>
    <w:p w14:paraId="48B31D4F"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Data about you is also collected from other sources, depending on your situation:</w:t>
      </w:r>
    </w:p>
    <w:tbl>
      <w:tblPr>
        <w:tblW w:w="5000" w:type="pct"/>
        <w:tblCellMar>
          <w:left w:w="0" w:type="dxa"/>
          <w:right w:w="0" w:type="dxa"/>
        </w:tblCellMar>
        <w:tblLook w:val="04A0" w:firstRow="1" w:lastRow="0" w:firstColumn="1" w:lastColumn="0" w:noHBand="0" w:noVBand="1"/>
      </w:tblPr>
      <w:tblGrid>
        <w:gridCol w:w="347"/>
        <w:gridCol w:w="8725"/>
      </w:tblGrid>
      <w:tr w:rsidR="00BC4D2A" w:rsidRPr="00250F96" w14:paraId="187635DA" w14:textId="77777777" w:rsidTr="00BC4D2A">
        <w:tc>
          <w:tcPr>
            <w:tcW w:w="0" w:type="auto"/>
            <w:shd w:val="clear" w:color="auto" w:fill="auto"/>
            <w:hideMark/>
          </w:tcPr>
          <w:p w14:paraId="1A7832F2"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10474030"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the Visa Information System: data contained in your personal file; and</w:t>
            </w:r>
          </w:p>
        </w:tc>
      </w:tr>
    </w:tbl>
    <w:p w14:paraId="09FC9975"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245"/>
        <w:gridCol w:w="8827"/>
      </w:tblGrid>
      <w:tr w:rsidR="00BC4D2A" w:rsidRPr="00250F96" w14:paraId="7DE0B920" w14:textId="77777777" w:rsidTr="00BC4D2A">
        <w:tc>
          <w:tcPr>
            <w:tcW w:w="0" w:type="auto"/>
            <w:shd w:val="clear" w:color="auto" w:fill="auto"/>
            <w:hideMark/>
          </w:tcPr>
          <w:p w14:paraId="3A97C5E4"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6B8F91FE"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the European Travel Information and Authorisation System, in particular the status of your travel authorisation and your family member status, if applicable.</w:t>
            </w:r>
          </w:p>
        </w:tc>
      </w:tr>
    </w:tbl>
    <w:p w14:paraId="312B0A92"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What happens if you do not provide the requested biometric data?</w:t>
      </w:r>
    </w:p>
    <w:p w14:paraId="5B4145F3"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If you do not provide the requested biometric data for registration, verification or identification in the Entry/Exit System, you will be refused entry at the external borders.</w:t>
      </w:r>
    </w:p>
    <w:p w14:paraId="72255CFB"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Who can access your data?</w:t>
      </w:r>
    </w:p>
    <w:p w14:paraId="1E6D03FE"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Member States can access your data for the purposes of border management, facilitation of border crossings, immigration, and law enforcement. Europol may also access your data for law enforcement purposes. Under strict conditions, your data may also be transferred to a Member State, a third country or an international organisation listed in Annex I of Regulation (EU) 2017/2226 </w:t>
      </w:r>
      <w:hyperlink r:id="rId11" w:anchor="ntr5-L_2022201EN.01005101-E0005"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5</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for the purposes of return </w:t>
      </w:r>
      <w:hyperlink r:id="rId12" w:anchor="ntr6-L_2022201EN.01005101-E0006"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6</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or law enforcement </w:t>
      </w:r>
      <w:hyperlink r:id="rId13" w:anchor="ntr7-L_2022201EN.01005101-E0007"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7</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w:t>
      </w:r>
    </w:p>
    <w:p w14:paraId="573EF606"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Your data will be stored in the Entry/Exit System for the following duration, after which it will be automatically erased:</w:t>
      </w:r>
      <w:r w:rsidRPr="00250F96">
        <w:rPr>
          <w:rFonts w:ascii="Arial" w:eastAsia="Times New Roman" w:hAnsi="Arial" w:cs="Arial"/>
          <w:b/>
          <w:bCs/>
          <w:color w:val="000000"/>
          <w:sz w:val="20"/>
          <w:szCs w:val="20"/>
          <w:u w:val="single"/>
          <w:lang w:eastAsia="sl-SI"/>
        </w:rPr>
        <w:t> </w:t>
      </w:r>
      <w:r w:rsidRPr="00250F96">
        <w:rPr>
          <w:rFonts w:ascii="Arial" w:eastAsia="Times New Roman" w:hAnsi="Arial" w:cs="Arial"/>
          <w:b/>
          <w:bCs/>
          <w:color w:val="000000"/>
          <w:sz w:val="20"/>
          <w:szCs w:val="20"/>
          <w:lang w:eastAsia="sl-SI"/>
        </w:rPr>
        <w:t> </w:t>
      </w:r>
      <w:hyperlink r:id="rId14" w:anchor="ntr8-L_2022201EN.01005101-E0008" w:history="1">
        <w:r w:rsidRPr="00250F96">
          <w:rPr>
            <w:rFonts w:ascii="Arial" w:eastAsia="Times New Roman" w:hAnsi="Arial" w:cs="Arial"/>
            <w:b/>
            <w:bCs/>
            <w:color w:val="337AB7"/>
            <w:sz w:val="20"/>
            <w:szCs w:val="20"/>
            <w:u w:val="single"/>
            <w:lang w:eastAsia="sl-SI"/>
          </w:rPr>
          <w:t>(</w:t>
        </w:r>
        <w:r w:rsidRPr="00250F96">
          <w:rPr>
            <w:rFonts w:ascii="Arial" w:eastAsia="Times New Roman" w:hAnsi="Arial" w:cs="Arial"/>
            <w:b/>
            <w:bCs/>
            <w:color w:val="337AB7"/>
            <w:sz w:val="20"/>
            <w:szCs w:val="20"/>
            <w:vertAlign w:val="superscript"/>
            <w:lang w:eastAsia="sl-SI"/>
          </w:rPr>
          <w:t>8</w:t>
        </w:r>
        <w:r w:rsidRPr="00250F96">
          <w:rPr>
            <w:rFonts w:ascii="Arial" w:eastAsia="Times New Roman" w:hAnsi="Arial" w:cs="Arial"/>
            <w:b/>
            <w:bCs/>
            <w:color w:val="337AB7"/>
            <w:sz w:val="20"/>
            <w:szCs w:val="20"/>
            <w:u w:val="single"/>
            <w:lang w:eastAsia="sl-SI"/>
          </w:rPr>
          <w:t>)</w:t>
        </w:r>
      </w:hyperlink>
    </w:p>
    <w:tbl>
      <w:tblPr>
        <w:tblW w:w="5000" w:type="pct"/>
        <w:tblCellMar>
          <w:left w:w="0" w:type="dxa"/>
          <w:right w:w="0" w:type="dxa"/>
        </w:tblCellMar>
        <w:tblLook w:val="04A0" w:firstRow="1" w:lastRow="0" w:firstColumn="1" w:lastColumn="0" w:noHBand="0" w:noVBand="1"/>
      </w:tblPr>
      <w:tblGrid>
        <w:gridCol w:w="245"/>
        <w:gridCol w:w="8827"/>
      </w:tblGrid>
      <w:tr w:rsidR="00BC4D2A" w:rsidRPr="00250F96" w14:paraId="220F8B29" w14:textId="77777777" w:rsidTr="00BC4D2A">
        <w:tc>
          <w:tcPr>
            <w:tcW w:w="0" w:type="auto"/>
            <w:shd w:val="clear" w:color="auto" w:fill="auto"/>
            <w:hideMark/>
          </w:tcPr>
          <w:p w14:paraId="25711A59"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7F0C9DD2"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records of each entry, exit or refusal of entry record are stored for 3 years starting on the date of the entry, exit, refusal of entry record; </w:t>
            </w:r>
            <w:hyperlink r:id="rId15" w:anchor="ntr9-L_2022201EN.01005101-E0009"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9</w:t>
              </w:r>
              <w:r w:rsidRPr="00250F96">
                <w:rPr>
                  <w:rFonts w:ascii="Arial" w:eastAsia="Times New Roman" w:hAnsi="Arial" w:cs="Arial"/>
                  <w:color w:val="337AB7"/>
                  <w:sz w:val="20"/>
                  <w:szCs w:val="20"/>
                  <w:u w:val="single"/>
                  <w:lang w:eastAsia="sl-SI"/>
                </w:rPr>
                <w:t>)</w:t>
              </w:r>
            </w:hyperlink>
          </w:p>
        </w:tc>
      </w:tr>
    </w:tbl>
    <w:p w14:paraId="495A5FC3"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245"/>
        <w:gridCol w:w="8827"/>
      </w:tblGrid>
      <w:tr w:rsidR="00BC4D2A" w:rsidRPr="00250F96" w14:paraId="41E33F2A" w14:textId="77777777" w:rsidTr="00BC4D2A">
        <w:tc>
          <w:tcPr>
            <w:tcW w:w="0" w:type="auto"/>
            <w:shd w:val="clear" w:color="auto" w:fill="auto"/>
            <w:hideMark/>
          </w:tcPr>
          <w:p w14:paraId="2B189AB3"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69F39D37"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the individual file containing your personal data is stored for 3 years and one day starting from the date of the last exit record or of the refusal of entry record where is no entry recorded during that period;</w:t>
            </w:r>
          </w:p>
        </w:tc>
      </w:tr>
    </w:tbl>
    <w:p w14:paraId="45FB1595"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245"/>
        <w:gridCol w:w="8827"/>
      </w:tblGrid>
      <w:tr w:rsidR="00BC4D2A" w:rsidRPr="00250F96" w14:paraId="7CAB5095" w14:textId="77777777" w:rsidTr="00BC4D2A">
        <w:tc>
          <w:tcPr>
            <w:tcW w:w="0" w:type="auto"/>
            <w:shd w:val="clear" w:color="auto" w:fill="auto"/>
            <w:hideMark/>
          </w:tcPr>
          <w:p w14:paraId="4C77E17A"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(3)</w:t>
            </w:r>
          </w:p>
        </w:tc>
        <w:tc>
          <w:tcPr>
            <w:tcW w:w="0" w:type="auto"/>
            <w:shd w:val="clear" w:color="auto" w:fill="auto"/>
            <w:hideMark/>
          </w:tcPr>
          <w:p w14:paraId="2E11D1D3"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where there is no exit record, your data are stored for 5 years starting on the date of the expiration of your authorised stay.</w:t>
            </w:r>
          </w:p>
        </w:tc>
      </w:tr>
    </w:tbl>
    <w:p w14:paraId="533F6887"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Remaining authorised stay and overstay</w:t>
      </w:r>
    </w:p>
    <w:p w14:paraId="4299DB62" w14:textId="31A7C6D9"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You have the right to receive from the border guard information on the maximum remaining duration of your authorised stay on the territory of the Member States. You can also consult the following website </w:t>
      </w:r>
      <w:bookmarkStart w:id="0" w:name="_Hlk176870439"/>
      <w:r w:rsidR="006C7327">
        <w:rPr>
          <w:rFonts w:ascii="Arial" w:eastAsia="Times New Roman" w:hAnsi="Arial" w:cs="Arial"/>
          <w:color w:val="000000"/>
          <w:sz w:val="20"/>
          <w:szCs w:val="20"/>
          <w:lang w:eastAsia="sl-SI"/>
        </w:rPr>
        <w:fldChar w:fldCharType="begin"/>
      </w:r>
      <w:r w:rsidR="006C7327">
        <w:rPr>
          <w:rFonts w:ascii="Arial" w:eastAsia="Times New Roman" w:hAnsi="Arial" w:cs="Arial"/>
          <w:color w:val="000000"/>
          <w:sz w:val="20"/>
          <w:szCs w:val="20"/>
          <w:lang w:eastAsia="sl-SI"/>
        </w:rPr>
        <w:instrText xml:space="preserve"> HYPERLINK "https://travel-europe.europa.eu/ees_en" </w:instrText>
      </w:r>
      <w:r w:rsidR="006C7327">
        <w:rPr>
          <w:rFonts w:ascii="Arial" w:eastAsia="Times New Roman" w:hAnsi="Arial" w:cs="Arial"/>
          <w:color w:val="000000"/>
          <w:sz w:val="20"/>
          <w:szCs w:val="20"/>
          <w:lang w:eastAsia="sl-SI"/>
        </w:rPr>
        <w:fldChar w:fldCharType="separate"/>
      </w:r>
      <w:r w:rsidR="006C7327" w:rsidRPr="006C7327">
        <w:rPr>
          <w:rStyle w:val="Hiperpovezava"/>
          <w:rFonts w:ascii="Arial" w:eastAsia="Times New Roman" w:hAnsi="Arial" w:cs="Arial"/>
          <w:sz w:val="20"/>
          <w:szCs w:val="20"/>
          <w:lang w:eastAsia="sl-SI"/>
        </w:rPr>
        <w:t>https://travel-europe.europa.eu/ees_en</w:t>
      </w:r>
      <w:bookmarkEnd w:id="0"/>
      <w:r w:rsidR="006C7327">
        <w:rPr>
          <w:rFonts w:ascii="Arial" w:eastAsia="Times New Roman" w:hAnsi="Arial" w:cs="Arial"/>
          <w:color w:val="000000"/>
          <w:sz w:val="20"/>
          <w:szCs w:val="20"/>
          <w:lang w:eastAsia="sl-SI"/>
        </w:rPr>
        <w:fldChar w:fldCharType="end"/>
      </w:r>
      <w:r w:rsidR="006C7327">
        <w:rPr>
          <w:rFonts w:ascii="Arial" w:eastAsia="Times New Roman" w:hAnsi="Arial" w:cs="Arial"/>
          <w:color w:val="000000"/>
          <w:sz w:val="20"/>
          <w:szCs w:val="20"/>
          <w:lang w:eastAsia="sl-SI"/>
        </w:rPr>
        <w:t xml:space="preserve"> </w:t>
      </w:r>
      <w:r w:rsidRPr="00250F96">
        <w:rPr>
          <w:rFonts w:ascii="Arial" w:eastAsia="Times New Roman" w:hAnsi="Arial" w:cs="Arial"/>
          <w:color w:val="000000"/>
          <w:sz w:val="20"/>
          <w:szCs w:val="20"/>
          <w:lang w:eastAsia="sl-SI"/>
        </w:rPr>
        <w:t>or, where available, the equipment installed at borders to self verify your remaining authorised stay.</w:t>
      </w:r>
    </w:p>
    <w:p w14:paraId="23821E5D"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lastRenderedPageBreak/>
        <w:t>If you overstay the period of your authorised stay, your data will be automatically added to a list of identified persons (a list of overstayers). The list can be accessed by competent national authorities. If you are on this list of overstayers [</w:t>
      </w:r>
      <w:r w:rsidRPr="00250F96">
        <w:rPr>
          <w:rFonts w:ascii="Arial" w:eastAsia="Times New Roman" w:hAnsi="Arial" w:cs="Arial"/>
          <w:i/>
          <w:iCs/>
          <w:color w:val="000000"/>
          <w:sz w:val="20"/>
          <w:szCs w:val="20"/>
          <w:lang w:eastAsia="sl-SI"/>
        </w:rPr>
        <w:t>consequences of being an overstayer to be added by the Member States</w:t>
      </w:r>
      <w:r w:rsidRPr="00250F96">
        <w:rPr>
          <w:rFonts w:ascii="Arial" w:eastAsia="Times New Roman" w:hAnsi="Arial" w:cs="Arial"/>
          <w:color w:val="000000"/>
          <w:sz w:val="20"/>
          <w:szCs w:val="20"/>
          <w:lang w:eastAsia="sl-SI"/>
        </w:rPr>
        <w:t>]. </w:t>
      </w:r>
      <w:hyperlink r:id="rId16" w:anchor="ntr10-L_2022201EN.01005101-E0010"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10</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However, if you can provide credible evidence to the competent authorities that you exceeded the authorised duration of your stay due to unforeseeable and serious events, your personal data can be rectified or completed in the Entry/Exit System and you can be removed from the list of overstayers.</w:t>
      </w:r>
    </w:p>
    <w:p w14:paraId="51D38E81"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Your rights with regard to the processing of personal data</w:t>
      </w:r>
    </w:p>
    <w:p w14:paraId="3C0ED7F6"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You have the following rights:</w:t>
      </w:r>
    </w:p>
    <w:tbl>
      <w:tblPr>
        <w:tblW w:w="5000" w:type="pct"/>
        <w:tblCellMar>
          <w:left w:w="0" w:type="dxa"/>
          <w:right w:w="0" w:type="dxa"/>
        </w:tblCellMar>
        <w:tblLook w:val="04A0" w:firstRow="1" w:lastRow="0" w:firstColumn="1" w:lastColumn="0" w:noHBand="0" w:noVBand="1"/>
      </w:tblPr>
      <w:tblGrid>
        <w:gridCol w:w="403"/>
        <w:gridCol w:w="8669"/>
      </w:tblGrid>
      <w:tr w:rsidR="00BC4D2A" w:rsidRPr="00250F96" w14:paraId="6C1C3739" w14:textId="77777777" w:rsidTr="00BC4D2A">
        <w:tc>
          <w:tcPr>
            <w:tcW w:w="0" w:type="auto"/>
            <w:shd w:val="clear" w:color="auto" w:fill="auto"/>
            <w:hideMark/>
          </w:tcPr>
          <w:p w14:paraId="207FBDD4"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5FA2301A"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to request from the controller access to data relating to you;</w:t>
            </w:r>
          </w:p>
        </w:tc>
      </w:tr>
    </w:tbl>
    <w:p w14:paraId="117F877C"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273"/>
        <w:gridCol w:w="8799"/>
      </w:tblGrid>
      <w:tr w:rsidR="00BC4D2A" w:rsidRPr="00250F96" w14:paraId="5E967568" w14:textId="77777777" w:rsidTr="00BC4D2A">
        <w:tc>
          <w:tcPr>
            <w:tcW w:w="0" w:type="auto"/>
            <w:shd w:val="clear" w:color="auto" w:fill="auto"/>
            <w:hideMark/>
          </w:tcPr>
          <w:p w14:paraId="647D6A99"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3A6F6585"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to request that inaccurate or incomplete data relating to you is rectified or completed; and</w:t>
            </w:r>
          </w:p>
        </w:tc>
      </w:tr>
    </w:tbl>
    <w:p w14:paraId="4D230BAB" w14:textId="77777777" w:rsidR="00BC4D2A" w:rsidRPr="00250F96" w:rsidRDefault="00BC4D2A" w:rsidP="00BC4D2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245"/>
        <w:gridCol w:w="8827"/>
      </w:tblGrid>
      <w:tr w:rsidR="00BC4D2A" w:rsidRPr="00250F96" w14:paraId="11823FE8" w14:textId="77777777" w:rsidTr="00BC4D2A">
        <w:tc>
          <w:tcPr>
            <w:tcW w:w="0" w:type="auto"/>
            <w:shd w:val="clear" w:color="auto" w:fill="auto"/>
            <w:hideMark/>
          </w:tcPr>
          <w:p w14:paraId="548386BF"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(3)</w:t>
            </w:r>
          </w:p>
        </w:tc>
        <w:tc>
          <w:tcPr>
            <w:tcW w:w="0" w:type="auto"/>
            <w:shd w:val="clear" w:color="auto" w:fill="auto"/>
            <w:hideMark/>
          </w:tcPr>
          <w:p w14:paraId="54D52F3E" w14:textId="77777777" w:rsidR="00BC4D2A" w:rsidRPr="00250F96" w:rsidRDefault="00BC4D2A" w:rsidP="00BC4D2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to request that unlawfully processed personal data that concerns you is erased or that the processing thereof is restricted.</w:t>
            </w:r>
          </w:p>
        </w:tc>
      </w:tr>
    </w:tbl>
    <w:p w14:paraId="4CDA6DB7"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If you want to exercise any of these rights listed in points (1) to (3), you must contact the data controller or data protection officer indicated below.</w:t>
      </w:r>
    </w:p>
    <w:p w14:paraId="72AFD56D" w14:textId="77777777" w:rsidR="00BC4D2A" w:rsidRPr="00250F96" w:rsidRDefault="00BC4D2A" w:rsidP="00BC4D2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Contact details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98"/>
        <w:gridCol w:w="4758"/>
      </w:tblGrid>
      <w:tr w:rsidR="00BC4D2A" w:rsidRPr="00250F96" w14:paraId="2F570D2E" w14:textId="77777777" w:rsidTr="00BC4D2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70215E" w14:textId="77777777" w:rsidR="00250F96" w:rsidRDefault="00BC4D2A"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Data controller(s):</w:t>
            </w:r>
            <w:r w:rsidRPr="00250F96">
              <w:rPr>
                <w:rFonts w:ascii="Arial" w:eastAsia="Times New Roman" w:hAnsi="Arial" w:cs="Arial"/>
                <w:sz w:val="20"/>
                <w:szCs w:val="20"/>
                <w:lang w:eastAsia="sl-SI"/>
              </w:rPr>
              <w:t> </w:t>
            </w:r>
          </w:p>
          <w:p w14:paraId="591EC929" w14:textId="3C1ACE7B" w:rsidR="00250F96" w:rsidRPr="00250F96" w:rsidRDefault="00250F96" w:rsidP="00250F96">
            <w:pPr>
              <w:spacing w:before="60" w:after="60" w:line="240" w:lineRule="auto"/>
              <w:rPr>
                <w:rFonts w:ascii="Arial" w:eastAsia="Times New Roman" w:hAnsi="Arial" w:cs="Arial"/>
                <w:i/>
                <w:iCs/>
                <w:sz w:val="20"/>
                <w:szCs w:val="20"/>
                <w:lang w:eastAsia="sl-SI"/>
              </w:rPr>
            </w:pPr>
            <w:r w:rsidRPr="00250F96">
              <w:rPr>
                <w:rFonts w:ascii="Arial" w:eastAsia="Times New Roman" w:hAnsi="Arial" w:cs="Arial"/>
                <w:sz w:val="20"/>
                <w:szCs w:val="20"/>
                <w:lang w:eastAsia="sl-SI"/>
              </w:rPr>
              <w:t>Republika Slovenija, Ministrstvo za notranje zadeve, Policija</w:t>
            </w:r>
          </w:p>
          <w:p w14:paraId="0D17FEF1" w14:textId="77777777" w:rsidR="00250F96"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Štefanova ulica 2, 1001 Ljubljana, Slovenija</w:t>
            </w:r>
          </w:p>
          <w:p w14:paraId="5E9BAF88" w14:textId="6C9C1D3E" w:rsidR="00BC4D2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gp.policija@policija.si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189CC4" w14:textId="77777777" w:rsidR="00250F96" w:rsidRDefault="00BC4D2A"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Data protection officer(s):</w:t>
            </w:r>
            <w:r w:rsidRPr="00250F96">
              <w:rPr>
                <w:rFonts w:ascii="Arial" w:eastAsia="Times New Roman" w:hAnsi="Arial" w:cs="Arial"/>
                <w:sz w:val="20"/>
                <w:szCs w:val="20"/>
                <w:lang w:eastAsia="sl-SI"/>
              </w:rPr>
              <w:t> </w:t>
            </w:r>
          </w:p>
          <w:p w14:paraId="5FB959AE" w14:textId="48E5F805" w:rsidR="00250F96"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Boris Obolnar, mag., pooblaščena oseb</w:t>
            </w:r>
            <w:r w:rsidR="002A65EC">
              <w:rPr>
                <w:rFonts w:ascii="Arial" w:eastAsia="Times New Roman" w:hAnsi="Arial" w:cs="Arial"/>
                <w:sz w:val="20"/>
                <w:szCs w:val="20"/>
                <w:lang w:eastAsia="sl-SI"/>
              </w:rPr>
              <w:t>a</w:t>
            </w:r>
            <w:r w:rsidRPr="00250F96">
              <w:rPr>
                <w:rFonts w:ascii="Arial" w:eastAsia="Times New Roman" w:hAnsi="Arial" w:cs="Arial"/>
                <w:sz w:val="20"/>
                <w:szCs w:val="20"/>
                <w:lang w:eastAsia="sl-SI"/>
              </w:rPr>
              <w:t xml:space="preserve"> za varstvo osebnih podatkov</w:t>
            </w:r>
          </w:p>
          <w:p w14:paraId="15A9D4D8" w14:textId="64B25A40" w:rsidR="00BC4D2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telefon: 01 428 40 09, e-pošta: dpo@policija.si</w:t>
            </w:r>
          </w:p>
        </w:tc>
      </w:tr>
    </w:tbl>
    <w:p w14:paraId="39A165B8" w14:textId="77777777"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In line with the division of tasks between Member States’ authorities and the European agencies involved, </w:t>
      </w:r>
      <w:r w:rsidRPr="00250F96">
        <w:rPr>
          <w:rFonts w:ascii="Arial" w:eastAsia="Times New Roman" w:hAnsi="Arial" w:cs="Arial"/>
          <w:b/>
          <w:bCs/>
          <w:color w:val="000000"/>
          <w:sz w:val="20"/>
          <w:szCs w:val="20"/>
          <w:lang w:eastAsia="sl-SI"/>
        </w:rPr>
        <w:t>you can lodge a complaint with</w:t>
      </w:r>
      <w:r w:rsidRPr="00250F96">
        <w:rPr>
          <w:rFonts w:ascii="Arial" w:eastAsia="Times New Roman" w:hAnsi="Arial" w:cs="Arial"/>
          <w:color w:val="000000"/>
          <w:sz w:val="20"/>
          <w:szCs w:val="20"/>
          <w:lang w:eastAsia="sl-SI"/>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44"/>
        <w:gridCol w:w="4512"/>
      </w:tblGrid>
      <w:tr w:rsidR="00BC4D2A" w:rsidRPr="00250F96" w14:paraId="79AD64B2" w14:textId="77777777" w:rsidTr="00BC4D2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C80CAC" w14:textId="77777777" w:rsidR="00BC4D2A" w:rsidRPr="00250F96" w:rsidRDefault="00BC4D2A" w:rsidP="00BC4D2A">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Supervisory authority of [the Member State] which is in charge of processing your data</w:t>
            </w:r>
            <w:r w:rsidRPr="00250F96">
              <w:rPr>
                <w:rFonts w:ascii="Arial" w:eastAsia="Times New Roman" w:hAnsi="Arial" w:cs="Arial"/>
                <w:sz w:val="20"/>
                <w:szCs w:val="20"/>
                <w:lang w:eastAsia="sl-SI"/>
              </w:rPr>
              <w:t> (e.g. if you allege that they have recorded your data incorrectly):</w:t>
            </w:r>
          </w:p>
          <w:p w14:paraId="2742FDE9" w14:textId="77777777" w:rsidR="00250F96" w:rsidRPr="00250F96" w:rsidRDefault="00250F96" w:rsidP="00250F96">
            <w:pPr>
              <w:rPr>
                <w:rFonts w:ascii="Arial" w:hAnsi="Arial" w:cs="Arial"/>
                <w:sz w:val="20"/>
                <w:szCs w:val="20"/>
              </w:rPr>
            </w:pPr>
            <w:r w:rsidRPr="00250F96">
              <w:rPr>
                <w:rFonts w:ascii="Arial" w:hAnsi="Arial" w:cs="Arial"/>
                <w:sz w:val="20"/>
                <w:szCs w:val="20"/>
              </w:rPr>
              <w:t>Informacijski pooblaščenec Republike Slovenije, Dunajska cesta 22, 1000 Ljubljana, Slovenija</w:t>
            </w:r>
          </w:p>
          <w:p w14:paraId="389B119B" w14:textId="5013A504" w:rsidR="00BC4D2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hAnsi="Arial" w:cs="Arial"/>
                <w:sz w:val="20"/>
                <w:szCs w:val="20"/>
              </w:rPr>
              <w:t>elektronski naslov: gp.ip@ip-rs.si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FF292C" w14:textId="77777777" w:rsidR="00BC4D2A" w:rsidRPr="00250F96" w:rsidRDefault="00BC4D2A" w:rsidP="00BC4D2A">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European Data Protection Supervisor for matters of data processing by European Agencies:</w:t>
            </w:r>
          </w:p>
          <w:p w14:paraId="57C10F67" w14:textId="77777777" w:rsidR="00250F96" w:rsidRPr="00250F96" w:rsidRDefault="00250F96" w:rsidP="00250F96">
            <w:pPr>
              <w:rPr>
                <w:rFonts w:ascii="Arial" w:hAnsi="Arial" w:cs="Arial"/>
                <w:sz w:val="20"/>
                <w:szCs w:val="20"/>
                <w:lang w:val="en-GB"/>
              </w:rPr>
            </w:pPr>
            <w:r w:rsidRPr="00250F96">
              <w:rPr>
                <w:rFonts w:ascii="Arial" w:hAnsi="Arial" w:cs="Arial"/>
                <w:sz w:val="20"/>
                <w:szCs w:val="20"/>
                <w:lang w:val="en-GB"/>
              </w:rPr>
              <w:t xml:space="preserve">European Data Protection Supervisor, </w:t>
            </w:r>
          </w:p>
          <w:p w14:paraId="2478C52D" w14:textId="77777777" w:rsidR="00250F96" w:rsidRPr="00250F96" w:rsidRDefault="00250F96" w:rsidP="00250F96">
            <w:pPr>
              <w:rPr>
                <w:rFonts w:ascii="Arial" w:hAnsi="Arial" w:cs="Arial"/>
                <w:sz w:val="20"/>
                <w:szCs w:val="20"/>
                <w:lang w:val="en-GB"/>
              </w:rPr>
            </w:pPr>
            <w:r w:rsidRPr="00250F96">
              <w:rPr>
                <w:rFonts w:ascii="Arial" w:hAnsi="Arial" w:cs="Arial"/>
                <w:sz w:val="20"/>
                <w:szCs w:val="20"/>
                <w:lang w:val="en-GB"/>
              </w:rPr>
              <w:t>Rue Wiertz 60, B-1047 Brussels.</w:t>
            </w:r>
          </w:p>
          <w:p w14:paraId="48311242" w14:textId="77777777" w:rsidR="00250F96" w:rsidRPr="00250F96" w:rsidRDefault="00250F96" w:rsidP="00250F96">
            <w:pPr>
              <w:spacing w:before="60" w:after="60" w:line="240" w:lineRule="auto"/>
              <w:rPr>
                <w:rFonts w:ascii="Arial" w:hAnsi="Arial" w:cs="Arial"/>
                <w:sz w:val="20"/>
                <w:szCs w:val="20"/>
              </w:rPr>
            </w:pPr>
            <w:r w:rsidRPr="00250F96">
              <w:rPr>
                <w:rFonts w:ascii="Arial" w:hAnsi="Arial" w:cs="Arial"/>
                <w:sz w:val="20"/>
                <w:szCs w:val="20"/>
              </w:rPr>
              <w:t xml:space="preserve">e-mail: </w:t>
            </w:r>
            <w:hyperlink r:id="rId17" w:history="1">
              <w:r w:rsidRPr="00250F96">
                <w:rPr>
                  <w:rStyle w:val="Hiperpovezava"/>
                  <w:rFonts w:ascii="Arial" w:hAnsi="Arial" w:cs="Arial"/>
                  <w:sz w:val="20"/>
                  <w:szCs w:val="20"/>
                </w:rPr>
                <w:t>edps@edps.europa.eu</w:t>
              </w:r>
            </w:hyperlink>
          </w:p>
          <w:p w14:paraId="6ADB49DC" w14:textId="1D964FAF" w:rsidR="00BC4D2A" w:rsidRPr="00250F96" w:rsidRDefault="00F738AB" w:rsidP="00250F96">
            <w:pPr>
              <w:spacing w:before="60" w:after="60" w:line="240" w:lineRule="auto"/>
              <w:rPr>
                <w:rFonts w:ascii="Arial" w:eastAsia="Times New Roman" w:hAnsi="Arial" w:cs="Arial"/>
                <w:sz w:val="20"/>
                <w:szCs w:val="20"/>
                <w:lang w:eastAsia="sl-SI"/>
              </w:rPr>
            </w:pPr>
            <w:hyperlink r:id="rId18" w:history="1">
              <w:r w:rsidR="00250F96" w:rsidRPr="00250F96">
                <w:rPr>
                  <w:rStyle w:val="Hiperpovezava"/>
                  <w:rFonts w:ascii="Arial" w:eastAsia="Times New Roman" w:hAnsi="Arial" w:cs="Arial"/>
                  <w:sz w:val="20"/>
                  <w:szCs w:val="20"/>
                  <w:lang w:eastAsia="sl-SI"/>
                </w:rPr>
                <w:t>https://www.edps.europa.eu/data-protection/our-role-supervisor/complaints/edps-complaint-form_en</w:t>
              </w:r>
            </w:hyperlink>
          </w:p>
        </w:tc>
      </w:tr>
    </w:tbl>
    <w:p w14:paraId="0BFCF089" w14:textId="3038702A" w:rsidR="00BC4D2A" w:rsidRPr="00250F96" w:rsidRDefault="00BC4D2A" w:rsidP="00BC4D2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b/>
          <w:bCs/>
          <w:color w:val="000000"/>
          <w:sz w:val="20"/>
          <w:szCs w:val="20"/>
          <w:lang w:eastAsia="sl-SI"/>
        </w:rPr>
        <w:t>For additional information please consult the Entry/Exit System public website</w:t>
      </w:r>
      <w:r w:rsidRPr="00250F96">
        <w:rPr>
          <w:rFonts w:ascii="Arial" w:eastAsia="Times New Roman" w:hAnsi="Arial" w:cs="Arial"/>
          <w:color w:val="000000"/>
          <w:sz w:val="20"/>
          <w:szCs w:val="20"/>
          <w:lang w:eastAsia="sl-SI"/>
        </w:rPr>
        <w:t> </w:t>
      </w:r>
      <w:hyperlink r:id="rId19" w:history="1">
        <w:r w:rsidR="00167A62" w:rsidRPr="006C7327">
          <w:rPr>
            <w:rStyle w:val="Hiperpovezava"/>
            <w:rFonts w:ascii="Arial" w:eastAsia="Times New Roman" w:hAnsi="Arial" w:cs="Arial"/>
            <w:i/>
            <w:iCs/>
            <w:sz w:val="20"/>
            <w:szCs w:val="20"/>
            <w:lang w:eastAsia="sl-SI"/>
          </w:rPr>
          <w:t>https://travel-europe.europa.eu/ees_en</w:t>
        </w:r>
      </w:hyperlink>
    </w:p>
    <w:p w14:paraId="01A47298" w14:textId="77777777" w:rsidR="00BC4D2A" w:rsidRPr="00250F96" w:rsidRDefault="00F738AB" w:rsidP="00BC4D2A">
      <w:pPr>
        <w:shd w:val="clear" w:color="auto" w:fill="FFFFFF"/>
        <w:spacing w:before="240" w:after="6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pict w14:anchorId="61F5240A">
          <v:rect id="_x0000_i1025" style="width:131.75pt;height:.75pt" o:hrpct="0" o:hrstd="t" o:hrnoshade="t" o:hr="t" fillcolor="black" stroked="f"/>
        </w:pict>
      </w:r>
    </w:p>
    <w:p w14:paraId="1CCCD4E3"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0" w:anchor="ntc1-L_2022201EN.01005101-E0001"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1</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Regulation (EU) 2017/2226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w:t>
      </w:r>
    </w:p>
    <w:p w14:paraId="790FCD9F"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1" w:anchor="ntc2-L_2022201EN.01005101-E0002"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2</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Austria, Belgium, Bulgaria, Czech Republic, Denmark, Estonia, Finland, France, Germany, Greece, Hungary, Iceland, Italy, Latvia, Liechtenstein, Lithuania, Luxembourg, Malta, Netherlands, Norway, Poland, Portugal, Romania, Slovakia, Slovenia, Spain, Sweden and Switzerland.</w:t>
      </w:r>
    </w:p>
    <w:p w14:paraId="6E504B33"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2" w:anchor="ntc3-L_2022201EN.01005101-E0003"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3</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xml:space="preserve">  Regulation (EU) 2017/2226 of the European Parliament and of the Council of 30 November 2017 on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w:t>
      </w:r>
      <w:r w:rsidR="00BC4D2A" w:rsidRPr="00250F96">
        <w:rPr>
          <w:rFonts w:ascii="Arial" w:eastAsia="Times New Roman" w:hAnsi="Arial" w:cs="Arial"/>
          <w:color w:val="000000"/>
          <w:sz w:val="20"/>
          <w:szCs w:val="20"/>
          <w:lang w:eastAsia="sl-SI"/>
        </w:rPr>
        <w:lastRenderedPageBreak/>
        <w:t>Schengen Agreement and Regulations (EC) No 767/2008 and (EU) No 1077/2011 (</w:t>
      </w:r>
      <w:hyperlink r:id="rId23" w:history="1">
        <w:r w:rsidR="00BC4D2A" w:rsidRPr="00250F96">
          <w:rPr>
            <w:rFonts w:ascii="Arial" w:eastAsia="Times New Roman" w:hAnsi="Arial" w:cs="Arial"/>
            <w:color w:val="337AB7"/>
            <w:sz w:val="20"/>
            <w:szCs w:val="20"/>
            <w:u w:val="single"/>
            <w:lang w:eastAsia="sl-SI"/>
          </w:rPr>
          <w:t>OJ L 327 9.12.2017, p. 20</w:t>
        </w:r>
      </w:hyperlink>
      <w:r w:rsidR="00BC4D2A" w:rsidRPr="00250F96">
        <w:rPr>
          <w:rFonts w:ascii="Arial" w:eastAsia="Times New Roman" w:hAnsi="Arial" w:cs="Arial"/>
          <w:color w:val="000000"/>
          <w:sz w:val="20"/>
          <w:szCs w:val="20"/>
          <w:lang w:eastAsia="sl-SI"/>
        </w:rPr>
        <w:t>).</w:t>
      </w:r>
    </w:p>
    <w:p w14:paraId="1961E47B"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4" w:anchor="ntc4-L_2022201EN.01005101-E0004"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4</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Please note that the fingerprints data of third-country nationals who do not need a visa to enter the Schengen area and holders of Facilitated Transit Documents will also be stored in the Entry/Exit System. If you need a visa to enter the Schengen area, your fingerprints will already be stored in the Visa Information System as part of your file there and will not be stored again in the Entry/Exit System.</w:t>
      </w:r>
    </w:p>
    <w:p w14:paraId="5B870D63"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5" w:anchor="ntc5-L_2022201EN.01005101-E0005"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5</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UN organisation, the International Organization for Migration (IOM) or the International Committee of the Red Cross.</w:t>
      </w:r>
    </w:p>
    <w:p w14:paraId="67196C79"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6" w:anchor="ntc6-L_2022201EN.01005101-E0006"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6</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Article 41(1) and (2) and Article 42.</w:t>
      </w:r>
    </w:p>
    <w:p w14:paraId="5563522B"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7" w:anchor="ntc7-L_2022201EN.01005101-E0007"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7</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Article 41(6).</w:t>
      </w:r>
    </w:p>
    <w:p w14:paraId="5E543142"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8" w:anchor="ntc8-L_2022201EN.01005101-E0008"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8</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If you are subject to visa requirement, your fingerprint will not be stored in the Entry/Exit system as they are already stored in the Visa Information System.</w:t>
      </w:r>
    </w:p>
    <w:p w14:paraId="5EF2918F"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29" w:anchor="ntc9-L_2022201EN.01005101-E0009"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9</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In the case of third-country nationals who are family members of mobile EU, EEA or Swiss citizens (i.e. of EU EEA or Swiss citizens who travel to a State other than the State of their nationality or already reside there),and are accompanying or joining the EU, EEA or Swiss citizen, each entry, exit or refusal of entry record will be stored for one year following the date of the exit record or of the refusal of entry record.</w:t>
      </w:r>
    </w:p>
    <w:p w14:paraId="1AC6F9F6" w14:textId="77777777" w:rsidR="00BC4D2A" w:rsidRPr="00250F96" w:rsidRDefault="00F738AB" w:rsidP="00BC4D2A">
      <w:pPr>
        <w:shd w:val="clear" w:color="auto" w:fill="FFFFFF"/>
        <w:spacing w:before="60" w:after="60" w:line="240" w:lineRule="auto"/>
        <w:jc w:val="both"/>
        <w:rPr>
          <w:rFonts w:ascii="Arial" w:eastAsia="Times New Roman" w:hAnsi="Arial" w:cs="Arial"/>
          <w:color w:val="000000"/>
          <w:sz w:val="20"/>
          <w:szCs w:val="20"/>
          <w:lang w:eastAsia="sl-SI"/>
        </w:rPr>
      </w:pPr>
      <w:hyperlink r:id="rId30" w:anchor="ntc10-L_2022201EN.01005101-E0010" w:history="1">
        <w:r w:rsidR="00BC4D2A" w:rsidRPr="00250F96">
          <w:rPr>
            <w:rFonts w:ascii="Arial" w:eastAsia="Times New Roman" w:hAnsi="Arial" w:cs="Arial"/>
            <w:color w:val="337AB7"/>
            <w:sz w:val="20"/>
            <w:szCs w:val="20"/>
            <w:u w:val="single"/>
            <w:lang w:eastAsia="sl-SI"/>
          </w:rPr>
          <w:t>(</w:t>
        </w:r>
        <w:r w:rsidR="00BC4D2A" w:rsidRPr="00250F96">
          <w:rPr>
            <w:rFonts w:ascii="Arial" w:eastAsia="Times New Roman" w:hAnsi="Arial" w:cs="Arial"/>
            <w:color w:val="337AB7"/>
            <w:sz w:val="20"/>
            <w:szCs w:val="20"/>
            <w:vertAlign w:val="superscript"/>
            <w:lang w:eastAsia="sl-SI"/>
          </w:rPr>
          <w:t>10</w:t>
        </w:r>
        <w:r w:rsidR="00BC4D2A" w:rsidRPr="00250F96">
          <w:rPr>
            <w:rFonts w:ascii="Arial" w:eastAsia="Times New Roman" w:hAnsi="Arial" w:cs="Arial"/>
            <w:color w:val="337AB7"/>
            <w:sz w:val="20"/>
            <w:szCs w:val="20"/>
            <w:u w:val="single"/>
            <w:lang w:eastAsia="sl-SI"/>
          </w:rPr>
          <w:t>)</w:t>
        </w:r>
      </w:hyperlink>
      <w:r w:rsidR="00BC4D2A" w:rsidRPr="00250F96">
        <w:rPr>
          <w:rFonts w:ascii="Arial" w:eastAsia="Times New Roman" w:hAnsi="Arial" w:cs="Arial"/>
          <w:color w:val="000000"/>
          <w:sz w:val="20"/>
          <w:szCs w:val="20"/>
          <w:lang w:eastAsia="sl-SI"/>
        </w:rPr>
        <w:t>  The calculation of the duration of the authorised stay and the generation of alerts to Member States when the authorised stay has expired do not apply to third-country nationals who are family members of mobile EU, EEA or Swiss citizens (i.e. of EU EEA or Swiss citizens who travel to a State other than the State of their nationality or already reside there) and are accompanying or joining the EU, EEA or Swiss citizen</w:t>
      </w:r>
    </w:p>
    <w:p w14:paraId="0E6914DA" w14:textId="77777777" w:rsidR="00E66900" w:rsidRDefault="00E66900">
      <w:pPr>
        <w:rPr>
          <w:rFonts w:ascii="Arial" w:hAnsi="Arial" w:cs="Arial"/>
          <w:sz w:val="20"/>
          <w:szCs w:val="20"/>
        </w:rPr>
      </w:pPr>
    </w:p>
    <w:p w14:paraId="0BA53FED" w14:textId="1F13924D" w:rsidR="00E66900" w:rsidRPr="00E66900" w:rsidRDefault="00E66900" w:rsidP="00E66900">
      <w:pPr>
        <w:jc w:val="both"/>
        <w:rPr>
          <w:rFonts w:ascii="Arial" w:hAnsi="Arial" w:cs="Arial"/>
          <w:b/>
          <w:sz w:val="20"/>
          <w:szCs w:val="20"/>
        </w:rPr>
      </w:pPr>
      <w:r w:rsidRPr="00E66900">
        <w:rPr>
          <w:rFonts w:ascii="Arial" w:hAnsi="Arial" w:cs="Arial"/>
          <w:b/>
          <w:sz w:val="20"/>
          <w:szCs w:val="20"/>
        </w:rPr>
        <w:t>Please note that the Entry/Exit System is being progressively rolled out. During this period from</w:t>
      </w:r>
      <w:r>
        <w:rPr>
          <w:rFonts w:ascii="Arial" w:hAnsi="Arial" w:cs="Arial"/>
          <w:b/>
          <w:sz w:val="20"/>
          <w:szCs w:val="20"/>
        </w:rPr>
        <w:t xml:space="preserve"> 12. 10. 2025 do 10. 4. 2026</w:t>
      </w:r>
      <w:r w:rsidRPr="00E66900">
        <w:rPr>
          <w:rFonts w:ascii="Arial" w:hAnsi="Arial" w:cs="Arial"/>
          <w:b/>
          <w:sz w:val="20"/>
          <w:szCs w:val="20"/>
        </w:rPr>
        <w:t xml:space="preserve">, your personal data, including your biometric data, might not be collected for the purposes of the Entry/Exit System at all Member States’ external borders. If the collection of that information is mandatory and you choose not to provide it, you will be refused entry. During the progressive roll-out, your data will not automatically be added to a list of overstayers. In addition, you will not be able to check how much longer you are authorised to stay using the EES website or equipment available at border crossing points. You can verify the duration of your authorised stay by using the short stay calculator tool available on the European Commission website at </w:t>
      </w:r>
      <w:hyperlink r:id="rId31" w:history="1">
        <w:r w:rsidR="00F738AB" w:rsidRPr="00E666E6">
          <w:rPr>
            <w:rStyle w:val="Hiperpovezava"/>
            <w:rFonts w:ascii="Arial" w:hAnsi="Arial" w:cs="Arial"/>
            <w:b/>
            <w:sz w:val="20"/>
            <w:szCs w:val="20"/>
          </w:rPr>
          <w:t>https://home-affairs.ec.europa.eu/policies/schengen/border-crossing/short-stay-calculator_en</w:t>
        </w:r>
      </w:hyperlink>
      <w:r w:rsidR="00F738AB">
        <w:rPr>
          <w:rFonts w:ascii="Arial" w:hAnsi="Arial" w:cs="Arial"/>
          <w:b/>
          <w:sz w:val="20"/>
          <w:szCs w:val="20"/>
        </w:rPr>
        <w:t>.</w:t>
      </w:r>
    </w:p>
    <w:p w14:paraId="5D921F11" w14:textId="77777777" w:rsidR="00E66900" w:rsidRPr="00E66900" w:rsidRDefault="00E66900" w:rsidP="00E66900">
      <w:pPr>
        <w:jc w:val="both"/>
        <w:rPr>
          <w:rFonts w:ascii="Arial" w:hAnsi="Arial" w:cs="Arial"/>
          <w:b/>
          <w:sz w:val="20"/>
          <w:szCs w:val="20"/>
        </w:rPr>
      </w:pPr>
      <w:bookmarkStart w:id="1" w:name="_GoBack"/>
      <w:bookmarkEnd w:id="1"/>
    </w:p>
    <w:p w14:paraId="0A66C94B" w14:textId="49BEC350" w:rsidR="00E66900" w:rsidRPr="00E66900" w:rsidRDefault="00E66900" w:rsidP="00E66900">
      <w:pPr>
        <w:jc w:val="both"/>
        <w:rPr>
          <w:rFonts w:ascii="Arial" w:hAnsi="Arial" w:cs="Arial"/>
          <w:b/>
          <w:sz w:val="20"/>
          <w:szCs w:val="20"/>
        </w:rPr>
      </w:pPr>
      <w:r w:rsidRPr="00E66900">
        <w:rPr>
          <w:rFonts w:ascii="Arial" w:hAnsi="Arial" w:cs="Arial"/>
          <w:b/>
          <w:sz w:val="20"/>
          <w:szCs w:val="20"/>
        </w:rPr>
        <w:t>After the progressive roll-out of the Entry/Exit System, your personal data will be processed as otherwise set out in this form.</w:t>
      </w:r>
    </w:p>
    <w:p w14:paraId="2B7805DB" w14:textId="288A673E" w:rsidR="00744FE4" w:rsidRPr="001767AE" w:rsidRDefault="00744FE4" w:rsidP="001767AE">
      <w:pPr>
        <w:rPr>
          <w:rFonts w:ascii="Arial" w:hAnsi="Arial" w:cs="Arial"/>
          <w:sz w:val="20"/>
          <w:szCs w:val="20"/>
        </w:rPr>
      </w:pPr>
    </w:p>
    <w:sectPr w:rsidR="00744FE4" w:rsidRPr="001767A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1EF6F3" w16cex:dateUtc="2024-09-24T11:02:00Z"/>
  <w16cex:commentExtensible w16cex:durableId="773A2AB6" w16cex:dateUtc="2024-09-24T11:01:00Z"/>
  <w16cex:commentExtensible w16cex:durableId="028DA1DB" w16cex:dateUtc="2024-09-24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01113" w14:textId="77777777" w:rsidR="006C7327" w:rsidRDefault="006C7327" w:rsidP="006C7327">
      <w:pPr>
        <w:spacing w:after="0" w:line="240" w:lineRule="auto"/>
      </w:pPr>
      <w:r>
        <w:separator/>
      </w:r>
    </w:p>
  </w:endnote>
  <w:endnote w:type="continuationSeparator" w:id="0">
    <w:p w14:paraId="33AB77CA" w14:textId="77777777" w:rsidR="006C7327" w:rsidRDefault="006C7327" w:rsidP="006C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E096" w14:textId="77777777" w:rsidR="006C7327" w:rsidRDefault="006C7327" w:rsidP="006C7327">
      <w:pPr>
        <w:spacing w:after="0" w:line="240" w:lineRule="auto"/>
      </w:pPr>
      <w:r>
        <w:separator/>
      </w:r>
    </w:p>
  </w:footnote>
  <w:footnote w:type="continuationSeparator" w:id="0">
    <w:p w14:paraId="7867C3D0" w14:textId="77777777" w:rsidR="006C7327" w:rsidRDefault="006C7327" w:rsidP="006C7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F5"/>
    <w:rsid w:val="00087C39"/>
    <w:rsid w:val="000D2F55"/>
    <w:rsid w:val="000D7947"/>
    <w:rsid w:val="00116008"/>
    <w:rsid w:val="00167A62"/>
    <w:rsid w:val="001767AE"/>
    <w:rsid w:val="002079E7"/>
    <w:rsid w:val="002156DA"/>
    <w:rsid w:val="00250F96"/>
    <w:rsid w:val="00265E9D"/>
    <w:rsid w:val="002A65EC"/>
    <w:rsid w:val="00343111"/>
    <w:rsid w:val="003C74F2"/>
    <w:rsid w:val="00400913"/>
    <w:rsid w:val="0046773B"/>
    <w:rsid w:val="00565405"/>
    <w:rsid w:val="005C21FE"/>
    <w:rsid w:val="005E5467"/>
    <w:rsid w:val="006756E3"/>
    <w:rsid w:val="006C7327"/>
    <w:rsid w:val="006F7A21"/>
    <w:rsid w:val="0072523D"/>
    <w:rsid w:val="00744FE4"/>
    <w:rsid w:val="007972FA"/>
    <w:rsid w:val="007F018D"/>
    <w:rsid w:val="009E2AD5"/>
    <w:rsid w:val="00A66D47"/>
    <w:rsid w:val="00AF06E9"/>
    <w:rsid w:val="00B00DD2"/>
    <w:rsid w:val="00B222DD"/>
    <w:rsid w:val="00B975DE"/>
    <w:rsid w:val="00BC4D2A"/>
    <w:rsid w:val="00BD24AE"/>
    <w:rsid w:val="00C061C6"/>
    <w:rsid w:val="00C53768"/>
    <w:rsid w:val="00CB70BF"/>
    <w:rsid w:val="00DE6BF5"/>
    <w:rsid w:val="00E560BC"/>
    <w:rsid w:val="00E66900"/>
    <w:rsid w:val="00F738AB"/>
    <w:rsid w:val="00F918CE"/>
    <w:rsid w:val="00FC1A5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CD4AA"/>
  <w15:chartTrackingRefBased/>
  <w15:docId w15:val="{3FBA513F-0573-4CCB-8723-619645C4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AF06E9"/>
    <w:rPr>
      <w:sz w:val="16"/>
      <w:szCs w:val="16"/>
    </w:rPr>
  </w:style>
  <w:style w:type="paragraph" w:styleId="Pripombabesedilo">
    <w:name w:val="annotation text"/>
    <w:basedOn w:val="Navaden"/>
    <w:link w:val="PripombabesediloZnak"/>
    <w:uiPriority w:val="99"/>
    <w:semiHidden/>
    <w:unhideWhenUsed/>
    <w:rsid w:val="00AF06E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F06E9"/>
    <w:rPr>
      <w:sz w:val="20"/>
      <w:szCs w:val="20"/>
    </w:rPr>
  </w:style>
  <w:style w:type="paragraph" w:styleId="Zadevapripombe">
    <w:name w:val="annotation subject"/>
    <w:basedOn w:val="Pripombabesedilo"/>
    <w:next w:val="Pripombabesedilo"/>
    <w:link w:val="ZadevapripombeZnak"/>
    <w:uiPriority w:val="99"/>
    <w:semiHidden/>
    <w:unhideWhenUsed/>
    <w:rsid w:val="00AF06E9"/>
    <w:rPr>
      <w:b/>
      <w:bCs/>
    </w:rPr>
  </w:style>
  <w:style w:type="character" w:customStyle="1" w:styleId="ZadevapripombeZnak">
    <w:name w:val="Zadeva pripombe Znak"/>
    <w:basedOn w:val="PripombabesediloZnak"/>
    <w:link w:val="Zadevapripombe"/>
    <w:uiPriority w:val="99"/>
    <w:semiHidden/>
    <w:rsid w:val="00AF06E9"/>
    <w:rPr>
      <w:b/>
      <w:bCs/>
      <w:sz w:val="20"/>
      <w:szCs w:val="20"/>
    </w:rPr>
  </w:style>
  <w:style w:type="paragraph" w:styleId="Besedilooblaka">
    <w:name w:val="Balloon Text"/>
    <w:basedOn w:val="Navaden"/>
    <w:link w:val="BesedilooblakaZnak"/>
    <w:uiPriority w:val="99"/>
    <w:semiHidden/>
    <w:unhideWhenUsed/>
    <w:rsid w:val="00AF06E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06E9"/>
    <w:rPr>
      <w:rFonts w:ascii="Segoe UI" w:hAnsi="Segoe UI" w:cs="Segoe UI"/>
      <w:sz w:val="18"/>
      <w:szCs w:val="18"/>
    </w:rPr>
  </w:style>
  <w:style w:type="character" w:styleId="Hiperpovezava">
    <w:name w:val="Hyperlink"/>
    <w:basedOn w:val="Privzetapisavaodstavka"/>
    <w:uiPriority w:val="99"/>
    <w:unhideWhenUsed/>
    <w:rsid w:val="00E560BC"/>
    <w:rPr>
      <w:color w:val="0563C1" w:themeColor="hyperlink"/>
      <w:u w:val="single"/>
    </w:rPr>
  </w:style>
  <w:style w:type="character" w:customStyle="1" w:styleId="UnresolvedMention">
    <w:name w:val="Unresolved Mention"/>
    <w:basedOn w:val="Privzetapisavaodstavka"/>
    <w:uiPriority w:val="99"/>
    <w:semiHidden/>
    <w:unhideWhenUsed/>
    <w:rsid w:val="00E560BC"/>
    <w:rPr>
      <w:color w:val="605E5C"/>
      <w:shd w:val="clear" w:color="auto" w:fill="E1DFDD"/>
    </w:rPr>
  </w:style>
  <w:style w:type="paragraph" w:styleId="Revizija">
    <w:name w:val="Revision"/>
    <w:hidden/>
    <w:uiPriority w:val="99"/>
    <w:semiHidden/>
    <w:rsid w:val="0072523D"/>
    <w:pPr>
      <w:spacing w:after="0" w:line="240" w:lineRule="auto"/>
    </w:pPr>
  </w:style>
  <w:style w:type="paragraph" w:styleId="Sprotnaopomba-besedilo">
    <w:name w:val="footnote text"/>
    <w:basedOn w:val="Navaden"/>
    <w:link w:val="Sprotnaopomba-besediloZnak"/>
    <w:uiPriority w:val="99"/>
    <w:semiHidden/>
    <w:unhideWhenUsed/>
    <w:rsid w:val="006C732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C7327"/>
    <w:rPr>
      <w:sz w:val="20"/>
      <w:szCs w:val="20"/>
    </w:rPr>
  </w:style>
  <w:style w:type="character" w:styleId="Sprotnaopomba-sklic">
    <w:name w:val="footnote reference"/>
    <w:basedOn w:val="Privzetapisavaodstavka"/>
    <w:uiPriority w:val="99"/>
    <w:semiHidden/>
    <w:unhideWhenUsed/>
    <w:rsid w:val="006C7327"/>
    <w:rPr>
      <w:vertAlign w:val="superscript"/>
    </w:rPr>
  </w:style>
  <w:style w:type="character" w:styleId="SledenaHiperpovezava">
    <w:name w:val="FollowedHyperlink"/>
    <w:basedOn w:val="Privzetapisavaodstavka"/>
    <w:uiPriority w:val="99"/>
    <w:semiHidden/>
    <w:unhideWhenUsed/>
    <w:rsid w:val="006C7327"/>
    <w:rPr>
      <w:color w:val="954F72" w:themeColor="followedHyperlink"/>
      <w:u w:val="single"/>
    </w:rPr>
  </w:style>
  <w:style w:type="paragraph" w:customStyle="1" w:styleId="Default">
    <w:name w:val="Default"/>
    <w:rsid w:val="00B975DE"/>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235">
      <w:bodyDiv w:val="1"/>
      <w:marLeft w:val="0"/>
      <w:marRight w:val="0"/>
      <w:marTop w:val="0"/>
      <w:marBottom w:val="0"/>
      <w:divBdr>
        <w:top w:val="none" w:sz="0" w:space="0" w:color="auto"/>
        <w:left w:val="none" w:sz="0" w:space="0" w:color="auto"/>
        <w:bottom w:val="none" w:sz="0" w:space="0" w:color="auto"/>
        <w:right w:val="none" w:sz="0" w:space="0" w:color="auto"/>
      </w:divBdr>
    </w:div>
    <w:div w:id="703944688">
      <w:bodyDiv w:val="1"/>
      <w:marLeft w:val="0"/>
      <w:marRight w:val="0"/>
      <w:marTop w:val="0"/>
      <w:marBottom w:val="0"/>
      <w:divBdr>
        <w:top w:val="none" w:sz="0" w:space="0" w:color="auto"/>
        <w:left w:val="none" w:sz="0" w:space="0" w:color="auto"/>
        <w:bottom w:val="none" w:sz="0" w:space="0" w:color="auto"/>
        <w:right w:val="none" w:sz="0" w:space="0" w:color="auto"/>
      </w:divBdr>
      <w:divsChild>
        <w:div w:id="234440700">
          <w:marLeft w:val="0"/>
          <w:marRight w:val="0"/>
          <w:marTop w:val="0"/>
          <w:marBottom w:val="0"/>
          <w:divBdr>
            <w:top w:val="none" w:sz="0" w:space="0" w:color="auto"/>
            <w:left w:val="none" w:sz="0" w:space="0" w:color="auto"/>
            <w:bottom w:val="none" w:sz="0" w:space="0" w:color="auto"/>
            <w:right w:val="none" w:sz="0" w:space="0" w:color="auto"/>
          </w:divBdr>
          <w:divsChild>
            <w:div w:id="107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4846">
      <w:bodyDiv w:val="1"/>
      <w:marLeft w:val="0"/>
      <w:marRight w:val="0"/>
      <w:marTop w:val="0"/>
      <w:marBottom w:val="0"/>
      <w:divBdr>
        <w:top w:val="none" w:sz="0" w:space="0" w:color="auto"/>
        <w:left w:val="none" w:sz="0" w:space="0" w:color="auto"/>
        <w:bottom w:val="none" w:sz="0" w:space="0" w:color="auto"/>
        <w:right w:val="none" w:sz="0" w:space="0" w:color="auto"/>
      </w:divBdr>
      <w:divsChild>
        <w:div w:id="2046367631">
          <w:marLeft w:val="0"/>
          <w:marRight w:val="0"/>
          <w:marTop w:val="0"/>
          <w:marBottom w:val="0"/>
          <w:divBdr>
            <w:top w:val="none" w:sz="0" w:space="0" w:color="auto"/>
            <w:left w:val="none" w:sz="0" w:space="0" w:color="auto"/>
            <w:bottom w:val="none" w:sz="0" w:space="0" w:color="auto"/>
            <w:right w:val="none" w:sz="0" w:space="0" w:color="auto"/>
          </w:divBdr>
          <w:divsChild>
            <w:div w:id="8747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5387">
      <w:bodyDiv w:val="1"/>
      <w:marLeft w:val="0"/>
      <w:marRight w:val="0"/>
      <w:marTop w:val="0"/>
      <w:marBottom w:val="0"/>
      <w:divBdr>
        <w:top w:val="none" w:sz="0" w:space="0" w:color="auto"/>
        <w:left w:val="none" w:sz="0" w:space="0" w:color="auto"/>
        <w:bottom w:val="none" w:sz="0" w:space="0" w:color="auto"/>
        <w:right w:val="none" w:sz="0" w:space="0" w:color="auto"/>
      </w:divBdr>
      <w:divsChild>
        <w:div w:id="1854416090">
          <w:marLeft w:val="0"/>
          <w:marRight w:val="0"/>
          <w:marTop w:val="0"/>
          <w:marBottom w:val="0"/>
          <w:divBdr>
            <w:top w:val="none" w:sz="0" w:space="0" w:color="auto"/>
            <w:left w:val="none" w:sz="0" w:space="0" w:color="auto"/>
            <w:bottom w:val="none" w:sz="0" w:space="0" w:color="auto"/>
            <w:right w:val="none" w:sz="0" w:space="0" w:color="auto"/>
          </w:divBdr>
          <w:divsChild>
            <w:div w:id="6053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2303">
      <w:bodyDiv w:val="1"/>
      <w:marLeft w:val="0"/>
      <w:marRight w:val="0"/>
      <w:marTop w:val="0"/>
      <w:marBottom w:val="0"/>
      <w:divBdr>
        <w:top w:val="none" w:sz="0" w:space="0" w:color="auto"/>
        <w:left w:val="none" w:sz="0" w:space="0" w:color="auto"/>
        <w:bottom w:val="none" w:sz="0" w:space="0" w:color="auto"/>
        <w:right w:val="none" w:sz="0" w:space="0" w:color="auto"/>
      </w:divBdr>
      <w:divsChild>
        <w:div w:id="667826533">
          <w:marLeft w:val="0"/>
          <w:marRight w:val="0"/>
          <w:marTop w:val="0"/>
          <w:marBottom w:val="0"/>
          <w:divBdr>
            <w:top w:val="none" w:sz="0" w:space="0" w:color="auto"/>
            <w:left w:val="none" w:sz="0" w:space="0" w:color="auto"/>
            <w:bottom w:val="none" w:sz="0" w:space="0" w:color="auto"/>
            <w:right w:val="none" w:sz="0" w:space="0" w:color="auto"/>
          </w:divBdr>
          <w:divsChild>
            <w:div w:id="4175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2022D1337&amp;qid=1719221702574" TargetMode="External"/><Relationship Id="rId13" Type="http://schemas.openxmlformats.org/officeDocument/2006/relationships/hyperlink" Target="https://eur-lex.europa.eu/legal-content/EN/TXT/HTML/?uri=CELEX:32022D1337&amp;qid=1719221702574" TargetMode="External"/><Relationship Id="rId18" Type="http://schemas.openxmlformats.org/officeDocument/2006/relationships/hyperlink" Target="https://www.edps.europa.eu/data-protection/our-role-supervisor/complaints/edps-complaint-form_en" TargetMode="External"/><Relationship Id="rId26" Type="http://schemas.openxmlformats.org/officeDocument/2006/relationships/hyperlink" Target="https://eur-lex.europa.eu/legal-content/EN/TXT/HTML/?uri=CELEX:32022D1337&amp;qid=1719221702574" TargetMode="External"/><Relationship Id="rId3" Type="http://schemas.openxmlformats.org/officeDocument/2006/relationships/settings" Target="settings.xml"/><Relationship Id="rId21" Type="http://schemas.openxmlformats.org/officeDocument/2006/relationships/hyperlink" Target="https://eur-lex.europa.eu/legal-content/EN/TXT/HTML/?uri=CELEX:32022D1337&amp;qid=1719221702574" TargetMode="External"/><Relationship Id="rId7" Type="http://schemas.openxmlformats.org/officeDocument/2006/relationships/hyperlink" Target="https://eur-lex.europa.eu/legal-content/EN/TXT/HTML/?uri=CELEX:32022D1337&amp;qid=1719221702574" TargetMode="External"/><Relationship Id="rId12" Type="http://schemas.openxmlformats.org/officeDocument/2006/relationships/hyperlink" Target="https://eur-lex.europa.eu/legal-content/EN/TXT/HTML/?uri=CELEX:32022D1337&amp;qid=1719221702574" TargetMode="External"/><Relationship Id="rId17" Type="http://schemas.openxmlformats.org/officeDocument/2006/relationships/hyperlink" Target="mailto:edps@edps.europa.eu" TargetMode="External"/><Relationship Id="rId25" Type="http://schemas.openxmlformats.org/officeDocument/2006/relationships/hyperlink" Target="https://eur-lex.europa.eu/legal-content/EN/TXT/HTML/?uri=CELEX:32022D1337&amp;qid=171922170257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lex.europa.eu/legal-content/EN/TXT/HTML/?uri=CELEX:32022D1337&amp;qid=1719221702574" TargetMode="External"/><Relationship Id="rId20" Type="http://schemas.openxmlformats.org/officeDocument/2006/relationships/hyperlink" Target="https://eur-lex.europa.eu/legal-content/EN/TXT/HTML/?uri=CELEX:32022D1337&amp;qid=1719221702574" TargetMode="External"/><Relationship Id="rId29" Type="http://schemas.openxmlformats.org/officeDocument/2006/relationships/hyperlink" Target="https://eur-lex.europa.eu/legal-content/EN/TXT/HTML/?uri=CELEX:32022D1337&amp;qid=17192217025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EN/TXT/HTML/?uri=CELEX:32022D1337&amp;qid=1719221702574" TargetMode="External"/><Relationship Id="rId24" Type="http://schemas.openxmlformats.org/officeDocument/2006/relationships/hyperlink" Target="https://eur-lex.europa.eu/legal-content/EN/TXT/HTML/?uri=CELEX:32022D1337&amp;qid=171922170257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ur-lex.europa.eu/legal-content/EN/TXT/HTML/?uri=CELEX:32022D1337&amp;qid=1719221702574" TargetMode="External"/><Relationship Id="rId23" Type="http://schemas.openxmlformats.org/officeDocument/2006/relationships/hyperlink" Target="https://eur-lex.europa.eu/legal-content/EN/AUTO/?uri=OJ:L:2017:327:TOC" TargetMode="External"/><Relationship Id="rId28" Type="http://schemas.openxmlformats.org/officeDocument/2006/relationships/hyperlink" Target="https://eur-lex.europa.eu/legal-content/EN/TXT/HTML/?uri=CELEX:32022D1337&amp;qid=1719221702574" TargetMode="External"/><Relationship Id="rId10" Type="http://schemas.openxmlformats.org/officeDocument/2006/relationships/hyperlink" Target="https://eur-lex.europa.eu/legal-content/EN/TXT/HTML/?uri=CELEX:32022D1337&amp;qid=1719221702574" TargetMode="External"/><Relationship Id="rId19" Type="http://schemas.openxmlformats.org/officeDocument/2006/relationships/hyperlink" Target="https://travel-europe.europa.eu/ees_en" TargetMode="External"/><Relationship Id="rId31" Type="http://schemas.openxmlformats.org/officeDocument/2006/relationships/hyperlink" Target="https://home-affairs.ec.europa.eu/policies/schengen/border-crossing/short-stay-calculator_en" TargetMode="External"/><Relationship Id="rId13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eur-lex.europa.eu/legal-content/EN/TXT/HTML/?uri=CELEX:32022D1337&amp;qid=1719221702574" TargetMode="External"/><Relationship Id="rId14" Type="http://schemas.openxmlformats.org/officeDocument/2006/relationships/hyperlink" Target="https://eur-lex.europa.eu/legal-content/EN/TXT/HTML/?uri=CELEX:32022D1337&amp;qid=1719221702574" TargetMode="External"/><Relationship Id="rId22" Type="http://schemas.openxmlformats.org/officeDocument/2006/relationships/hyperlink" Target="https://eur-lex.europa.eu/legal-content/EN/TXT/HTML/?uri=CELEX:32022D1337&amp;qid=1719221702574" TargetMode="External"/><Relationship Id="rId27" Type="http://schemas.openxmlformats.org/officeDocument/2006/relationships/hyperlink" Target="https://eur-lex.europa.eu/legal-content/EN/TXT/HTML/?uri=CELEX:32022D1337&amp;qid=1719221702574" TargetMode="External"/><Relationship Id="rId30" Type="http://schemas.openxmlformats.org/officeDocument/2006/relationships/hyperlink" Target="https://eur-lex.europa.eu/legal-content/EN/TXT/HTML/?uri=CELEX:32022D1337&amp;qid=17192217025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EDF87A-5D94-42FC-83FA-88E54D7B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1939</Words>
  <Characters>11053</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POLICIJA</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SMREČNIK Nikolaj</dc:creator>
  <cp:keywords/>
  <dc:description/>
  <cp:lastModifiedBy>MARTINEC Marlena</cp:lastModifiedBy>
  <cp:revision>5</cp:revision>
  <dcterms:created xsi:type="dcterms:W3CDTF">2025-09-10T08:47:00Z</dcterms:created>
  <dcterms:modified xsi:type="dcterms:W3CDTF">2025-09-24T07:06:00Z</dcterms:modified>
</cp:coreProperties>
</file>