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A15" w14:textId="5C7D5566" w:rsidR="00D531D8" w:rsidRPr="00FD6B97" w:rsidRDefault="00FD6B97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8"/>
          <w:szCs w:val="24"/>
          <w:lang w:val="en-GB"/>
        </w:rPr>
        <w:t xml:space="preserve">Title of the </w:t>
      </w:r>
      <w:r w:rsidR="00BA4630">
        <w:rPr>
          <w:rFonts w:ascii="Times New Roman" w:hAnsi="Times New Roman" w:cs="Times New Roman"/>
          <w:b/>
          <w:sz w:val="28"/>
          <w:szCs w:val="24"/>
          <w:lang w:val="en-GB"/>
        </w:rPr>
        <w:t>article</w:t>
      </w:r>
      <w:r w:rsidR="00E97EAB" w:rsidRPr="00FD6B97">
        <w:rPr>
          <w:rStyle w:val="Sprotnaopomba-sklic"/>
          <w:rFonts w:ascii="Times New Roman" w:hAnsi="Times New Roman" w:cs="Times New Roman"/>
          <w:b/>
          <w:sz w:val="28"/>
          <w:szCs w:val="24"/>
          <w:lang w:val="en-GB"/>
        </w:rPr>
        <w:footnoteReference w:id="1"/>
      </w:r>
    </w:p>
    <w:p w14:paraId="470B6DBA" w14:textId="77777777" w:rsidR="00E97EAB" w:rsidRPr="00FD6B97" w:rsidRDefault="00E97EAB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7D57F5" w14:textId="2423BF58" w:rsidR="00E97EAB" w:rsidRPr="00FD6B97" w:rsidRDefault="00FD6B97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>Name and surname of the first author</w:t>
      </w:r>
      <w:r w:rsidR="00E97EAB" w:rsidRPr="00FD6B97">
        <w:rPr>
          <w:rStyle w:val="Sprotnaopomba-sklic"/>
          <w:rFonts w:ascii="Times New Roman" w:hAnsi="Times New Roman" w:cs="Times New Roman"/>
          <w:b/>
          <w:sz w:val="24"/>
          <w:szCs w:val="24"/>
          <w:lang w:val="en-GB"/>
        </w:rPr>
        <w:footnoteReference w:id="2"/>
      </w:r>
      <w:r w:rsidR="00E97EAB" w:rsidRPr="00FD6B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>name and surname of the second author</w:t>
      </w:r>
      <w:r w:rsidR="00E97EAB" w:rsidRPr="00FD6B97">
        <w:rPr>
          <w:rStyle w:val="Sprotnaopomba-sklic"/>
          <w:rFonts w:ascii="Times New Roman" w:hAnsi="Times New Roman" w:cs="Times New Roman"/>
          <w:b/>
          <w:sz w:val="24"/>
          <w:szCs w:val="24"/>
          <w:lang w:val="en-GB"/>
        </w:rPr>
        <w:footnoteReference w:id="3"/>
      </w:r>
      <w:r w:rsidR="009A55D9" w:rsidRPr="00FD6B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A55D9" w:rsidRPr="00FD6B9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examples are provided in the foo</w:t>
      </w:r>
      <w:r w:rsidR="004900C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notes</w:t>
      </w:r>
      <w:r w:rsidR="009A55D9" w:rsidRPr="00FD6B9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FA40E40" w14:textId="77777777" w:rsidR="00E97EAB" w:rsidRPr="00FD6B97" w:rsidRDefault="00E97EA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C3623A" w14:textId="23D01D6C" w:rsidR="00E97EAB" w:rsidRPr="00FD6B97" w:rsidRDefault="00FD6B97" w:rsidP="00F3221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97EAB" w:rsidRPr="00FD6B9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9C0EA9" w14:textId="77777777" w:rsidR="00F32210" w:rsidRPr="00FD6B97" w:rsidRDefault="00F32210" w:rsidP="00F3221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EB16BB" w14:textId="2611D399" w:rsidR="00F32210" w:rsidRPr="00FD6B97" w:rsidRDefault="00FD6B97" w:rsidP="00F3221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>Keywords</w:t>
      </w:r>
      <w:r w:rsidR="00F32210" w:rsidRPr="00FD6B9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1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2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3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4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5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keyword</w:t>
      </w:r>
    </w:p>
    <w:p w14:paraId="5FD3B349" w14:textId="77777777" w:rsidR="00F32210" w:rsidRPr="00FD6B97" w:rsidRDefault="00F32210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91EFEE" w14:textId="77777777" w:rsidR="00DE4C9B" w:rsidRPr="00FD6B97" w:rsidRDefault="00DE4C9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AE5355" w14:textId="7EEFB0F0" w:rsidR="00F32210" w:rsidRPr="00FD6B97" w:rsidRDefault="00F32210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1 </w:t>
      </w:r>
      <w:r w:rsidR="00FD6B97" w:rsidRPr="00FD6B97">
        <w:rPr>
          <w:rFonts w:ascii="Times New Roman" w:hAnsi="Times New Roman" w:cs="Times New Roman"/>
          <w:b/>
          <w:sz w:val="24"/>
          <w:szCs w:val="24"/>
          <w:lang w:val="en-GB"/>
        </w:rPr>
        <w:t>Heading</w:t>
      </w:r>
    </w:p>
    <w:p w14:paraId="7EBF9D7F" w14:textId="6A9FB7AB" w:rsidR="00E97EAB" w:rsidRPr="00FD6B97" w:rsidRDefault="00FD6B97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000F5" w:rsidRPr="00993EC1">
        <w:rPr>
          <w:rFonts w:ascii="Times New Roman" w:hAnsi="Times New Roman" w:cs="Times New Roman"/>
          <w:sz w:val="24"/>
          <w:szCs w:val="24"/>
        </w:rPr>
        <w:t xml:space="preserve">Newman, 1972; </w:t>
      </w:r>
      <w:proofErr w:type="spellStart"/>
      <w:r w:rsidR="009000F5" w:rsidRPr="00993EC1">
        <w:rPr>
          <w:rFonts w:ascii="Times New Roman" w:hAnsi="Times New Roman" w:cs="Times New Roman"/>
          <w:sz w:val="24"/>
          <w:szCs w:val="24"/>
        </w:rPr>
        <w:t>Osterburg</w:t>
      </w:r>
      <w:proofErr w:type="spellEnd"/>
      <w:r w:rsidR="009000F5" w:rsidRPr="00993EC1">
        <w:rPr>
          <w:rFonts w:ascii="Times New Roman" w:hAnsi="Times New Roman" w:cs="Times New Roman"/>
          <w:sz w:val="24"/>
          <w:szCs w:val="24"/>
        </w:rPr>
        <w:t xml:space="preserve"> </w:t>
      </w:r>
      <w:r w:rsidR="009000F5">
        <w:rPr>
          <w:rFonts w:ascii="Times New Roman" w:hAnsi="Times New Roman" w:cs="Times New Roman"/>
          <w:sz w:val="24"/>
          <w:szCs w:val="24"/>
        </w:rPr>
        <w:t>&amp;</w:t>
      </w:r>
      <w:r w:rsidR="009000F5" w:rsidRPr="00993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0F5" w:rsidRPr="00993EC1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="009000F5" w:rsidRPr="00993EC1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="009000F5" w:rsidRPr="00993EC1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="009000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000F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9000F5">
        <w:rPr>
          <w:rFonts w:ascii="Times New Roman" w:hAnsi="Times New Roman" w:cs="Times New Roman"/>
          <w:sz w:val="24"/>
          <w:szCs w:val="24"/>
        </w:rPr>
        <w:t>.</w:t>
      </w:r>
      <w:r w:rsidR="009000F5" w:rsidRPr="00993EC1">
        <w:rPr>
          <w:rFonts w:ascii="Times New Roman" w:hAnsi="Times New Roman" w:cs="Times New Roman"/>
          <w:sz w:val="24"/>
          <w:szCs w:val="24"/>
        </w:rPr>
        <w:t>, 2009;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0F5" w:rsidRPr="00993EC1">
        <w:rPr>
          <w:rFonts w:ascii="Times New Roman" w:eastAsia="Times New Roman" w:hAnsi="Times New Roman" w:cs="Times New Roman"/>
          <w:sz w:val="24"/>
          <w:szCs w:val="24"/>
        </w:rPr>
        <w:t>Uprava Republike Slovenije za izvrševanje kazenskih sankcij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0F5">
        <w:rPr>
          <w:rFonts w:ascii="Times New Roman" w:hAnsi="Times New Roman" w:cs="Times New Roman"/>
          <w:sz w:val="24"/>
          <w:szCs w:val="24"/>
        </w:rPr>
        <w:t>[URSIKS]</w:t>
      </w:r>
      <w:r w:rsidR="009000F5" w:rsidRPr="00993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7F6821" w:rsidRPr="00FD6B97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80A0521" w14:textId="3F24FE98" w:rsidR="00F32210" w:rsidRPr="00FD6B97" w:rsidRDefault="00FD6B97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lastRenderedPageBreak/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4900C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000F5" w:rsidRPr="0049366A">
        <w:rPr>
          <w:rFonts w:ascii="Times New Roman" w:hAnsi="Times New Roman" w:cs="Times New Roman"/>
          <w:sz w:val="24"/>
          <w:szCs w:val="24"/>
        </w:rPr>
        <w:t xml:space="preserve">Kornhauser </w:t>
      </w:r>
      <w:r w:rsidR="009000F5">
        <w:rPr>
          <w:rFonts w:ascii="Times New Roman" w:hAnsi="Times New Roman" w:cs="Times New Roman"/>
          <w:sz w:val="24"/>
          <w:szCs w:val="24"/>
        </w:rPr>
        <w:t>&amp;</w:t>
      </w:r>
      <w:r w:rsidR="009000F5" w:rsidRPr="0049366A">
        <w:rPr>
          <w:rFonts w:ascii="Times New Roman" w:hAnsi="Times New Roman" w:cs="Times New Roman"/>
          <w:sz w:val="24"/>
          <w:szCs w:val="24"/>
        </w:rPr>
        <w:t xml:space="preserve"> Gostiša Kornhauser, 2006; </w:t>
      </w:r>
      <w:proofErr w:type="spellStart"/>
      <w:r w:rsidR="009000F5" w:rsidRPr="0049366A">
        <w:rPr>
          <w:rFonts w:ascii="Times New Roman" w:eastAsia="Times New Roman" w:hAnsi="Times New Roman" w:cs="Times New Roman"/>
          <w:sz w:val="24"/>
          <w:szCs w:val="24"/>
        </w:rPr>
        <w:t>Petrovec</w:t>
      </w:r>
      <w:proofErr w:type="spellEnd"/>
      <w:r w:rsidR="009000F5" w:rsidRPr="0049366A">
        <w:rPr>
          <w:rFonts w:ascii="Times New Roman" w:eastAsia="Times New Roman" w:hAnsi="Times New Roman" w:cs="Times New Roman"/>
          <w:sz w:val="24"/>
          <w:szCs w:val="24"/>
        </w:rPr>
        <w:t xml:space="preserve">, 2017; Taylor 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proofErr w:type="spellStart"/>
      <w:r w:rsidR="009000F5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9000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00F5" w:rsidRPr="0049366A">
        <w:rPr>
          <w:rFonts w:ascii="Times New Roman" w:eastAsia="Times New Roman" w:hAnsi="Times New Roman" w:cs="Times New Roman"/>
          <w:sz w:val="24"/>
          <w:szCs w:val="24"/>
        </w:rPr>
        <w:t>, 2001; Ustavno sodišče Republike Slovenije, 2006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53737D5B" w14:textId="77777777" w:rsidR="00E97EAB" w:rsidRPr="00FD6B97" w:rsidRDefault="00E97EA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9CF902" w14:textId="3F341D10" w:rsidR="00E97EAB" w:rsidRPr="00FD6B97" w:rsidRDefault="00F32210" w:rsidP="00F32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1.1 </w:t>
      </w:r>
      <w:r w:rsidR="00FD6B97" w:rsidRPr="00FD6B97">
        <w:rPr>
          <w:rFonts w:ascii="Times New Roman" w:hAnsi="Times New Roman" w:cs="Times New Roman"/>
          <w:b/>
          <w:sz w:val="24"/>
          <w:szCs w:val="24"/>
          <w:lang w:val="en-GB"/>
        </w:rPr>
        <w:t>Subheading</w:t>
      </w:r>
    </w:p>
    <w:p w14:paraId="7109793F" w14:textId="33200BEF" w:rsidR="00F32210" w:rsidRPr="00FD6B97" w:rsidRDefault="00FD6B97" w:rsidP="00F3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4900C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9000F5" w:rsidRPr="0049366A">
        <w:rPr>
          <w:rFonts w:ascii="Times New Roman" w:hAnsi="Times New Roman" w:cs="Times New Roman"/>
          <w:sz w:val="24"/>
          <w:szCs w:val="24"/>
        </w:rPr>
        <w:t>Borak</w:t>
      </w:r>
      <w:proofErr w:type="spellEnd"/>
      <w:r w:rsidR="009000F5" w:rsidRPr="0049366A">
        <w:rPr>
          <w:rFonts w:ascii="Times New Roman" w:hAnsi="Times New Roman" w:cs="Times New Roman"/>
          <w:sz w:val="24"/>
          <w:szCs w:val="24"/>
        </w:rPr>
        <w:t xml:space="preserve"> </w:t>
      </w:r>
      <w:r w:rsidR="009000F5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9000F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9000F5">
        <w:rPr>
          <w:rFonts w:ascii="Times New Roman" w:hAnsi="Times New Roman" w:cs="Times New Roman"/>
          <w:sz w:val="24"/>
          <w:szCs w:val="24"/>
        </w:rPr>
        <w:t>.</w:t>
      </w:r>
      <w:r w:rsidR="009000F5" w:rsidRPr="0049366A">
        <w:rPr>
          <w:rFonts w:ascii="Times New Roman" w:hAnsi="Times New Roman" w:cs="Times New Roman"/>
          <w:sz w:val="24"/>
          <w:szCs w:val="24"/>
        </w:rPr>
        <w:t xml:space="preserve">, 2006; </w:t>
      </w:r>
      <w:r w:rsidR="009000F5" w:rsidRPr="0049366A">
        <w:rPr>
          <w:rFonts w:ascii="Times New Roman" w:eastAsia="Times New Roman" w:hAnsi="Times New Roman" w:cs="Times New Roman"/>
          <w:sz w:val="24"/>
          <w:szCs w:val="24"/>
        </w:rPr>
        <w:t xml:space="preserve">Ministrstvo za notranje zadeve Republike Slovenije [MNZ RS], 2017; </w:t>
      </w:r>
      <w:r w:rsidR="009000F5" w:rsidRPr="0049366A">
        <w:rPr>
          <w:rFonts w:ascii="Times New Roman" w:hAnsi="Times New Roman" w:cs="Times New Roman"/>
          <w:i/>
          <w:sz w:val="24"/>
          <w:szCs w:val="24"/>
        </w:rPr>
        <w:t xml:space="preserve">Oxford </w:t>
      </w:r>
      <w:proofErr w:type="spellStart"/>
      <w:r w:rsidR="009000F5" w:rsidRPr="0049366A">
        <w:rPr>
          <w:rFonts w:ascii="Times New Roman" w:hAnsi="Times New Roman" w:cs="Times New Roman"/>
          <w:i/>
          <w:sz w:val="24"/>
          <w:szCs w:val="24"/>
        </w:rPr>
        <w:t>essential</w:t>
      </w:r>
      <w:proofErr w:type="spellEnd"/>
      <w:r w:rsidR="009000F5" w:rsidRPr="004936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00F5" w:rsidRPr="0049366A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="009000F5" w:rsidRPr="0049366A">
        <w:rPr>
          <w:rFonts w:ascii="Times New Roman" w:hAnsi="Times New Roman" w:cs="Times New Roman"/>
          <w:i/>
          <w:sz w:val="24"/>
          <w:szCs w:val="24"/>
        </w:rPr>
        <w:t xml:space="preserve"> atlas</w:t>
      </w:r>
      <w:r w:rsidR="009000F5" w:rsidRPr="0049366A">
        <w:rPr>
          <w:rFonts w:ascii="Times New Roman" w:hAnsi="Times New Roman" w:cs="Times New Roman"/>
          <w:sz w:val="24"/>
          <w:szCs w:val="24"/>
        </w:rPr>
        <w:t>, 1996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137D5695" w14:textId="76D9E370" w:rsidR="00F32210" w:rsidRPr="00FD6B97" w:rsidRDefault="00FD6B97" w:rsidP="00F3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000F5" w:rsidRPr="00993EC1">
        <w:rPr>
          <w:rFonts w:ascii="Times New Roman" w:hAnsi="Times New Roman" w:cs="Times New Roman"/>
          <w:sz w:val="24"/>
          <w:szCs w:val="24"/>
        </w:rPr>
        <w:t xml:space="preserve">Areh, 2014; </w:t>
      </w:r>
      <w:r w:rsidR="009000F5">
        <w:rPr>
          <w:rFonts w:ascii="Times New Roman" w:hAnsi="Times New Roman" w:cs="Times New Roman"/>
          <w:sz w:val="24"/>
          <w:szCs w:val="24"/>
        </w:rPr>
        <w:t>»</w:t>
      </w:r>
      <w:r w:rsidR="009000F5" w:rsidRPr="00993EC1">
        <w:rPr>
          <w:rFonts w:ascii="Times New Roman" w:eastAsia="Times New Roman" w:hAnsi="Times New Roman" w:cs="Times New Roman"/>
          <w:sz w:val="24"/>
          <w:szCs w:val="24"/>
        </w:rPr>
        <w:t>Pomisleki glede prodaje NLB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00F5" w:rsidRPr="00993EC1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DE4C9B" w:rsidRPr="00FD6B97">
        <w:rPr>
          <w:rStyle w:val="Sprotnaopomba-sklic"/>
          <w:rFonts w:ascii="Times New Roman" w:hAnsi="Times New Roman" w:cs="Times New Roman"/>
          <w:sz w:val="24"/>
          <w:szCs w:val="24"/>
          <w:lang w:val="en-GB"/>
        </w:rPr>
        <w:footnoteReference w:id="4"/>
      </w:r>
    </w:p>
    <w:p w14:paraId="4A6F4CCC" w14:textId="77777777" w:rsidR="00E97EAB" w:rsidRPr="00FD6B97" w:rsidRDefault="00E97EAB" w:rsidP="00F322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AE21091" w14:textId="6AF40997" w:rsidR="00E97EAB" w:rsidRPr="00FD6B97" w:rsidRDefault="00F32210" w:rsidP="00F322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1.1.1 </w:t>
      </w:r>
      <w:r w:rsidR="00FD6B97" w:rsidRPr="00FD6B97">
        <w:rPr>
          <w:rFonts w:ascii="Times New Roman" w:hAnsi="Times New Roman" w:cs="Times New Roman"/>
          <w:b/>
          <w:i/>
          <w:sz w:val="24"/>
          <w:szCs w:val="24"/>
          <w:lang w:val="en-GB"/>
        </w:rPr>
        <w:t>Subheading</w:t>
      </w:r>
    </w:p>
    <w:p w14:paraId="3DA25814" w14:textId="65718E3D" w:rsidR="00F32210" w:rsidRPr="00FD6B97" w:rsidRDefault="00FD6B97" w:rsidP="00F3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000F5" w:rsidRPr="00993EC1">
        <w:rPr>
          <w:rFonts w:ascii="Times New Roman" w:hAnsi="Times New Roman" w:cs="Times New Roman"/>
          <w:sz w:val="24"/>
          <w:szCs w:val="24"/>
        </w:rPr>
        <w:t>Pittau</w:t>
      </w:r>
      <w:proofErr w:type="spellEnd"/>
      <w:r w:rsidR="009000F5" w:rsidRPr="00993EC1">
        <w:rPr>
          <w:rFonts w:ascii="Times New Roman" w:hAnsi="Times New Roman" w:cs="Times New Roman"/>
          <w:sz w:val="24"/>
          <w:szCs w:val="24"/>
        </w:rPr>
        <w:t xml:space="preserve">, 1983; </w:t>
      </w:r>
      <w:proofErr w:type="spellStart"/>
      <w:r w:rsidR="009000F5" w:rsidRPr="00993EC1">
        <w:rPr>
          <w:rFonts w:ascii="Times New Roman" w:hAnsi="Times New Roman" w:cs="Times New Roman"/>
          <w:sz w:val="24"/>
          <w:szCs w:val="24"/>
        </w:rPr>
        <w:t>Spaseski</w:t>
      </w:r>
      <w:proofErr w:type="spellEnd"/>
      <w:r w:rsidR="009000F5" w:rsidRPr="00993EC1">
        <w:rPr>
          <w:rFonts w:ascii="Times New Roman" w:hAnsi="Times New Roman" w:cs="Times New Roman"/>
          <w:sz w:val="24"/>
          <w:szCs w:val="24"/>
        </w:rPr>
        <w:t xml:space="preserve">, 2009; </w:t>
      </w:r>
      <w:r w:rsidR="009000F5">
        <w:rPr>
          <w:rFonts w:ascii="Times New Roman" w:hAnsi="Times New Roman" w:cs="Times New Roman"/>
          <w:sz w:val="24"/>
          <w:szCs w:val="24"/>
        </w:rPr>
        <w:t>»</w:t>
      </w:r>
      <w:r w:rsidR="009000F5" w:rsidRPr="00993EC1">
        <w:rPr>
          <w:rFonts w:ascii="Times New Roman" w:eastAsia="Times New Roman" w:hAnsi="Times New Roman" w:cs="Times New Roman"/>
          <w:sz w:val="24"/>
          <w:szCs w:val="24"/>
        </w:rPr>
        <w:t>Zakon o izvrševanju kazenskih sankcij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0F5" w:rsidRPr="005B036D">
        <w:rPr>
          <w:rFonts w:ascii="Times New Roman" w:eastAsia="Times New Roman" w:hAnsi="Times New Roman" w:cs="Times New Roman"/>
        </w:rPr>
        <w:t>(ZIKS-1-UPB1)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00F5" w:rsidRPr="00993EC1">
        <w:rPr>
          <w:rFonts w:ascii="Times New Roman" w:eastAsia="Times New Roman" w:hAnsi="Times New Roman" w:cs="Times New Roman"/>
          <w:sz w:val="24"/>
          <w:szCs w:val="24"/>
        </w:rPr>
        <w:t xml:space="preserve">, 2006; 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00F5" w:rsidRPr="00993EC1">
        <w:rPr>
          <w:rFonts w:ascii="Times New Roman" w:eastAsia="Times New Roman" w:hAnsi="Times New Roman" w:cs="Times New Roman"/>
          <w:sz w:val="24"/>
          <w:szCs w:val="24"/>
        </w:rPr>
        <w:t>Zakon o spremembah in dopolnitvah Zakona o izvrševanju kazenskih sankcij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0F5" w:rsidRPr="005B036D">
        <w:rPr>
          <w:rFonts w:ascii="Times New Roman" w:eastAsia="Times New Roman" w:hAnsi="Times New Roman" w:cs="Times New Roman"/>
        </w:rPr>
        <w:t>(ZIKS-1B)</w:t>
      </w:r>
      <w:r w:rsidR="009000F5">
        <w:rPr>
          <w:rFonts w:ascii="Times New Roman" w:eastAsia="Times New Roman" w:hAnsi="Times New Roman" w:cs="Times New Roman"/>
          <w:sz w:val="24"/>
          <w:szCs w:val="24"/>
        </w:rPr>
        <w:t>«, 2006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2CDCCE40" w14:textId="4D6CBB16" w:rsidR="009000F5" w:rsidRDefault="00FD6B97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9000F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000F5">
        <w:rPr>
          <w:rFonts w:ascii="Times New Roman" w:hAnsi="Times New Roman" w:cs="Times New Roman"/>
          <w:sz w:val="24"/>
          <w:szCs w:val="24"/>
        </w:rPr>
        <w:t>»</w:t>
      </w:r>
      <w:r w:rsidR="009000F5" w:rsidRPr="005B036D">
        <w:rPr>
          <w:rFonts w:ascii="Times New Roman" w:eastAsia="Times New Roman" w:hAnsi="Times New Roman" w:cs="Times New Roman"/>
        </w:rPr>
        <w:t>ZIKS-1-UPB1</w:t>
      </w:r>
      <w:r w:rsidR="009000F5">
        <w:rPr>
          <w:rFonts w:ascii="Times New Roman" w:eastAsia="Times New Roman" w:hAnsi="Times New Roman" w:cs="Times New Roman"/>
        </w:rPr>
        <w:t>«, 2006)</w:t>
      </w:r>
      <w:r w:rsidR="009000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819C319" w14:textId="797F3620" w:rsidR="00E97EAB" w:rsidRPr="00FD6B97" w:rsidRDefault="009000F5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B97" w:rsidRPr="00FD6B97">
        <w:rPr>
          <w:rFonts w:ascii="Times New Roman" w:hAnsi="Times New Roman" w:cs="Times New Roman"/>
          <w:sz w:val="24"/>
          <w:szCs w:val="24"/>
          <w:lang w:val="en-GB"/>
        </w:rPr>
        <w:t>text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</w:t>
      </w:r>
      <w:r w:rsidR="00F32210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3E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EC1">
        <w:rPr>
          <w:rFonts w:ascii="Times New Roman" w:eastAsia="Times New Roman" w:hAnsi="Times New Roman" w:cs="Times New Roman"/>
          <w:sz w:val="24"/>
          <w:szCs w:val="24"/>
        </w:rPr>
        <w:t>Merriam</w:t>
      </w:r>
      <w:proofErr w:type="spellEnd"/>
      <w:r w:rsidRPr="00993EC1">
        <w:rPr>
          <w:rFonts w:ascii="Times New Roman" w:eastAsia="Times New Roman" w:hAnsi="Times New Roman" w:cs="Times New Roman"/>
          <w:sz w:val="24"/>
          <w:szCs w:val="24"/>
        </w:rPr>
        <w:t>-Webster, n. d.;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Meško idr., 2013; </w:t>
      </w:r>
      <w:r w:rsidRPr="009C6074">
        <w:rPr>
          <w:rFonts w:ascii="Times New Roman" w:hAnsi="Times New Roman" w:cs="Times New Roman"/>
          <w:i/>
          <w:sz w:val="24"/>
          <w:szCs w:val="24"/>
        </w:rPr>
        <w:t>Slovar slovenskega knjižnega jezika</w:t>
      </w:r>
      <w:r w:rsidRPr="00993EC1">
        <w:rPr>
          <w:rFonts w:ascii="Times New Roman" w:hAnsi="Times New Roman" w:cs="Times New Roman"/>
          <w:sz w:val="24"/>
          <w:szCs w:val="24"/>
        </w:rPr>
        <w:t>, 1994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41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Tanackovič</w:t>
      </w:r>
      <w:r w:rsidRPr="00993EC1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93EC1">
        <w:rPr>
          <w:rFonts w:ascii="Times New Roman" w:hAnsi="Times New Roman" w:cs="Times New Roman"/>
          <w:sz w:val="24"/>
          <w:szCs w:val="24"/>
        </w:rPr>
        <w:t>).</w:t>
      </w:r>
    </w:p>
    <w:p w14:paraId="2F5E42AA" w14:textId="77777777" w:rsidR="00E97EAB" w:rsidRPr="00FD6B97" w:rsidRDefault="00E97EAB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305085" w14:textId="12113B98" w:rsidR="00E97EAB" w:rsidRPr="00FD6B97" w:rsidRDefault="007F682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>Tabl</w:t>
      </w:r>
      <w:r w:rsidR="00FD6B97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1: </w:t>
      </w:r>
      <w:r w:rsidR="00FD6B97">
        <w:rPr>
          <w:rFonts w:ascii="Times New Roman" w:hAnsi="Times New Roman" w:cs="Times New Roman"/>
          <w:b/>
          <w:sz w:val="24"/>
          <w:szCs w:val="24"/>
          <w:lang w:val="en-GB"/>
        </w:rPr>
        <w:t>Title of the table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(URSIKS, 2019)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93"/>
        <w:gridCol w:w="893"/>
        <w:gridCol w:w="894"/>
        <w:gridCol w:w="894"/>
        <w:gridCol w:w="894"/>
        <w:gridCol w:w="894"/>
        <w:gridCol w:w="894"/>
        <w:gridCol w:w="895"/>
        <w:gridCol w:w="895"/>
      </w:tblGrid>
      <w:tr w:rsidR="007F6821" w:rsidRPr="00FD6B97" w14:paraId="6D81F8D6" w14:textId="77777777" w:rsidTr="007F6821">
        <w:trPr>
          <w:jc w:val="center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336" w14:textId="5E6234F7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C90BE" w14:textId="4C52FB47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3B797F7F" w14:textId="64C8937D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3F1D0700" w14:textId="294E370D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57A25900" w14:textId="42B6D63C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0A3D3237" w14:textId="3517BC15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68BC19F5" w14:textId="45CD3395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133CABC4" w14:textId="05C948A2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99636ED" w14:textId="70F97F8A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C5E8D5" w14:textId="1A060DB4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text</w:t>
            </w:r>
          </w:p>
        </w:tc>
      </w:tr>
      <w:tr w:rsidR="007F6821" w:rsidRPr="00FD6B97" w14:paraId="76AB9718" w14:textId="77777777" w:rsidTr="007F6821">
        <w:trPr>
          <w:jc w:val="center"/>
        </w:trPr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14:paraId="2E341232" w14:textId="783907A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14:paraId="1EAAC3BC" w14:textId="36324A8F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1823C649" w14:textId="72860DB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2F7AA0D5" w14:textId="568F9F57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0E78DBB5" w14:textId="3B7CFFC7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4D915771" w14:textId="0D50BF3A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5BD455BA" w14:textId="301703D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7BE9ABF0" w14:textId="546524B3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E76218E" w14:textId="519ABD7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24F218BB" w14:textId="3AD6778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</w:tr>
      <w:tr w:rsidR="007F6821" w:rsidRPr="00FD6B97" w14:paraId="2E52822E" w14:textId="77777777" w:rsidTr="007F6821">
        <w:trPr>
          <w:jc w:val="center"/>
        </w:trPr>
        <w:tc>
          <w:tcPr>
            <w:tcW w:w="1016" w:type="dxa"/>
            <w:tcBorders>
              <w:right w:val="single" w:sz="4" w:space="0" w:color="auto"/>
            </w:tcBorders>
          </w:tcPr>
          <w:p w14:paraId="2FD079C4" w14:textId="12FE359C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6BDC2C64" w14:textId="765C87C3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</w:tcPr>
          <w:p w14:paraId="789FF083" w14:textId="35FB226F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2ADAB8EB" w14:textId="6ADCDAE7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</w:tcPr>
          <w:p w14:paraId="23F4D56E" w14:textId="58F08FC4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02ACB06F" w14:textId="5EAA4405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35F95323" w14:textId="37A1985A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38F74421" w14:textId="29F6F579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</w:tcPr>
          <w:p w14:paraId="00FD6B60" w14:textId="7DDBEB00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</w:tcPr>
          <w:p w14:paraId="150CFCFF" w14:textId="5F9F039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</w:tr>
      <w:tr w:rsidR="007F6821" w:rsidRPr="00FD6B97" w14:paraId="46313AF4" w14:textId="77777777" w:rsidTr="007F6821">
        <w:trPr>
          <w:jc w:val="center"/>
        </w:trPr>
        <w:tc>
          <w:tcPr>
            <w:tcW w:w="1016" w:type="dxa"/>
            <w:tcBorders>
              <w:right w:val="single" w:sz="4" w:space="0" w:color="auto"/>
            </w:tcBorders>
          </w:tcPr>
          <w:p w14:paraId="2E58DEE3" w14:textId="564FE133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226B8731" w14:textId="1B3D3DFE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</w:tcPr>
          <w:p w14:paraId="122E2108" w14:textId="23C0FB5F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0EB5F0E9" w14:textId="262572B4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</w:tcPr>
          <w:p w14:paraId="74E7D0ED" w14:textId="5573BF5A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7C471815" w14:textId="6AE17CDA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4E73C927" w14:textId="26197EEE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4AF8A9D2" w14:textId="1DC10371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</w:tcPr>
          <w:p w14:paraId="4097B029" w14:textId="1E35618F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</w:tcPr>
          <w:p w14:paraId="164DEAB1" w14:textId="07A18541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</w:tr>
      <w:tr w:rsidR="007F6821" w:rsidRPr="00FD6B97" w14:paraId="5D8AD087" w14:textId="77777777" w:rsidTr="007F6821">
        <w:trPr>
          <w:jc w:val="center"/>
        </w:trPr>
        <w:tc>
          <w:tcPr>
            <w:tcW w:w="1016" w:type="dxa"/>
            <w:tcBorders>
              <w:right w:val="single" w:sz="4" w:space="0" w:color="auto"/>
            </w:tcBorders>
          </w:tcPr>
          <w:p w14:paraId="69AF7463" w14:textId="40E2B3CD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0B10DA54" w14:textId="5098AE65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</w:tcPr>
          <w:p w14:paraId="20946C42" w14:textId="6F8E6B9E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7909EC1A" w14:textId="071401C2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</w:tcPr>
          <w:p w14:paraId="0CB39045" w14:textId="305EE56E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5FB24D0E" w14:textId="34D04EF7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5642EF72" w14:textId="52854400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60E8CEB1" w14:textId="758503C4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</w:tcPr>
          <w:p w14:paraId="5E4E33D1" w14:textId="479174C3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</w:tcPr>
          <w:p w14:paraId="7926B8C2" w14:textId="59357466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</w:tr>
      <w:tr w:rsidR="007F6821" w:rsidRPr="00FD6B97" w14:paraId="2C4AAC1D" w14:textId="77777777" w:rsidTr="007F6821">
        <w:trPr>
          <w:jc w:val="center"/>
        </w:trPr>
        <w:tc>
          <w:tcPr>
            <w:tcW w:w="1016" w:type="dxa"/>
            <w:tcBorders>
              <w:right w:val="single" w:sz="4" w:space="0" w:color="auto"/>
            </w:tcBorders>
          </w:tcPr>
          <w:p w14:paraId="316EB42B" w14:textId="2ED053B6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7F02A963" w14:textId="657CA19C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</w:tcPr>
          <w:p w14:paraId="24293E04" w14:textId="2C5D031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5D3CED74" w14:textId="3EF99D38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</w:tcPr>
          <w:p w14:paraId="056E585B" w14:textId="674F581B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75404D08" w14:textId="4F6AAE5C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3ED83207" w14:textId="56C455CC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070415C8" w14:textId="758410AA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</w:tcPr>
          <w:p w14:paraId="42C447F6" w14:textId="5D77A07E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</w:tcPr>
          <w:p w14:paraId="7F098BF2" w14:textId="41A78E9E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</w:tr>
      <w:tr w:rsidR="007F6821" w:rsidRPr="00FD6B97" w14:paraId="07B91C4A" w14:textId="77777777" w:rsidTr="007F6821">
        <w:trPr>
          <w:jc w:val="center"/>
        </w:trPr>
        <w:tc>
          <w:tcPr>
            <w:tcW w:w="1016" w:type="dxa"/>
            <w:tcBorders>
              <w:right w:val="single" w:sz="4" w:space="0" w:color="auto"/>
            </w:tcBorders>
          </w:tcPr>
          <w:p w14:paraId="47B9AF46" w14:textId="16A3F50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3985E8FF" w14:textId="79674533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</w:tcPr>
          <w:p w14:paraId="61484CEF" w14:textId="0B0CAF72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2DBC65E9" w14:textId="756658F2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</w:tcPr>
          <w:p w14:paraId="2F9E6381" w14:textId="67046A80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6A5C06C1" w14:textId="71CB5B98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677C1179" w14:textId="2426FA16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</w:tcPr>
          <w:p w14:paraId="1DB7365C" w14:textId="63574C0A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</w:tcPr>
          <w:p w14:paraId="18AD3460" w14:textId="4AE7D648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</w:tcPr>
          <w:p w14:paraId="47BF0F41" w14:textId="17736BA6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</w:tr>
      <w:tr w:rsidR="007F6821" w:rsidRPr="00FD6B97" w14:paraId="1AFDCBA1" w14:textId="77777777" w:rsidTr="007F6821">
        <w:trPr>
          <w:jc w:val="center"/>
        </w:trPr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</w:tcPr>
          <w:p w14:paraId="637EF708" w14:textId="01B403A6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14:paraId="18D7D7EF" w14:textId="05F123AB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2B83A020" w14:textId="78CC4763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73A2BD38" w14:textId="2C37AC8D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45420621" w14:textId="7E60CFD3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10F1F256" w14:textId="3D703319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2CEA989F" w14:textId="0444AC68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EEDDB43" w14:textId="3A8D6DF6" w:rsidR="007F6821" w:rsidRPr="00FD6B97" w:rsidRDefault="009000F5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D6B97"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6016877" w14:textId="48894A4B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F116FE0" w14:textId="0DC6DA3A" w:rsidR="007F6821" w:rsidRPr="00FD6B97" w:rsidRDefault="00FD6B97" w:rsidP="007F68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D6B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</w:tr>
    </w:tbl>
    <w:p w14:paraId="15799E82" w14:textId="49F5BC6E" w:rsidR="00E97EAB" w:rsidRPr="00FD6B97" w:rsidRDefault="007F682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4"/>
          <w:lang w:val="en-GB"/>
        </w:rPr>
      </w:pPr>
      <w:r w:rsidRPr="00FD6B97">
        <w:rPr>
          <w:rFonts w:ascii="Times New Roman" w:hAnsi="Times New Roman" w:cs="Times New Roman"/>
          <w:sz w:val="20"/>
          <w:szCs w:val="24"/>
          <w:lang w:val="en-GB"/>
        </w:rPr>
        <w:t xml:space="preserve">* </w:t>
      </w:r>
      <w:r w:rsidR="00FD6B97">
        <w:rPr>
          <w:rFonts w:ascii="Times New Roman" w:hAnsi="Times New Roman" w:cs="Times New Roman"/>
          <w:sz w:val="20"/>
          <w:szCs w:val="24"/>
          <w:lang w:val="en-GB"/>
        </w:rPr>
        <w:t>At least one mention of the table in the text</w:t>
      </w:r>
      <w:r w:rsidRPr="00FD6B97">
        <w:rPr>
          <w:rFonts w:ascii="Times New Roman" w:hAnsi="Times New Roman" w:cs="Times New Roman"/>
          <w:sz w:val="20"/>
          <w:szCs w:val="24"/>
          <w:lang w:val="en-GB"/>
        </w:rPr>
        <w:t>.</w:t>
      </w:r>
    </w:p>
    <w:p w14:paraId="75C28B7C" w14:textId="77777777" w:rsidR="00993EC1" w:rsidRPr="00FD6B97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36DFEF8" w14:textId="77777777" w:rsidR="00993EC1" w:rsidRPr="00FD6B97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drawing>
          <wp:inline distT="0" distB="0" distL="0" distR="0" wp14:anchorId="3D13D2A4" wp14:editId="3C84BCF6">
            <wp:extent cx="5760720" cy="2922905"/>
            <wp:effectExtent l="0" t="0" r="11430" b="1079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DB51B9" w14:textId="7F6C58E6" w:rsidR="00993EC1" w:rsidRPr="00FD6B97" w:rsidRDefault="00993EC1" w:rsidP="00993E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>Gra</w:t>
      </w:r>
      <w:r w:rsidR="00FD6B97">
        <w:rPr>
          <w:rFonts w:ascii="Times New Roman" w:hAnsi="Times New Roman" w:cs="Times New Roman"/>
          <w:b/>
          <w:sz w:val="24"/>
          <w:szCs w:val="24"/>
          <w:lang w:val="en-GB"/>
        </w:rPr>
        <w:t>ph</w:t>
      </w: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1: </w:t>
      </w:r>
      <w:r w:rsidR="00FD6B97">
        <w:rPr>
          <w:rFonts w:ascii="Times New Roman" w:hAnsi="Times New Roman" w:cs="Times New Roman"/>
          <w:b/>
          <w:sz w:val="24"/>
          <w:szCs w:val="24"/>
          <w:lang w:val="en-GB"/>
        </w:rPr>
        <w:t>Title of the graph</w:t>
      </w:r>
      <w:r w:rsidR="00FD6B97">
        <w:rPr>
          <w:rFonts w:ascii="Times New Roman" w:hAnsi="Times New Roman" w:cs="Times New Roman"/>
          <w:sz w:val="24"/>
          <w:szCs w:val="24"/>
          <w:lang w:val="en-GB"/>
        </w:rPr>
        <w:t xml:space="preserve"> (Hacin &amp;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>Meško, 2020: 777)</w:t>
      </w:r>
    </w:p>
    <w:p w14:paraId="11DB1A0D" w14:textId="77777777" w:rsidR="00993EC1" w:rsidRPr="00FD6B97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83114F" w14:textId="77777777" w:rsidR="00993EC1" w:rsidRPr="00FD6B97" w:rsidRDefault="00993EC1" w:rsidP="00E97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/>
          <w:noProof/>
          <w:sz w:val="24"/>
          <w:szCs w:val="24"/>
          <w:lang w:val="en-GB" w:eastAsia="sl-SI"/>
        </w:rPr>
        <w:drawing>
          <wp:inline distT="0" distB="0" distL="0" distR="0" wp14:anchorId="4B520BF9" wp14:editId="25A22ACC">
            <wp:extent cx="5760720" cy="2208151"/>
            <wp:effectExtent l="19050" t="19050" r="11430" b="209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alni model legitimnosti v Sloveniji (ang.) 21.2.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81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3BBA19" w14:textId="348C3945" w:rsidR="007F6821" w:rsidRPr="00FD6B97" w:rsidRDefault="00FD6B97" w:rsidP="00993E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Figure</w:t>
      </w:r>
      <w:r w:rsidR="007F6821" w:rsidRPr="00FD6B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1:</w:t>
      </w:r>
      <w:r w:rsidR="007F6821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3BFB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of the figure</w:t>
      </w:r>
      <w:r w:rsidR="00993EC1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(Hacin, 2018: 218)</w:t>
      </w:r>
    </w:p>
    <w:p w14:paraId="365F25FA" w14:textId="77777777" w:rsidR="00DE4C9B" w:rsidRPr="00FD6B97" w:rsidRDefault="00DE4C9B" w:rsidP="00DE4C9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7B40B9F0" w14:textId="26757CD5" w:rsidR="00DE4C9B" w:rsidRPr="00FD6B97" w:rsidRDefault="00DE4C9B" w:rsidP="00DE4C9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b/>
          <w:sz w:val="24"/>
          <w:szCs w:val="24"/>
          <w:lang w:val="en-GB"/>
        </w:rPr>
        <w:t>Literatur</w:t>
      </w:r>
      <w:r w:rsidR="009000F5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</w:p>
    <w:p w14:paraId="446A879D" w14:textId="26975203" w:rsidR="00FD6B97" w:rsidRDefault="00FD6B97" w:rsidP="00FD6B9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Areh, I. (2014).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Poskus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rekonstrukcije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uporabljenih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zasliševalskih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tehnik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Sloveniji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[An attempt of reconstruction of interrogation techniques]. In B. Flander, I. Areh, &amp; M. Modic (Eds.), </w:t>
      </w:r>
      <w:proofErr w:type="spellStart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>Zbornik</w:t>
      </w:r>
      <w:proofErr w:type="spellEnd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>prispevkov</w:t>
      </w:r>
      <w:proofErr w:type="spellEnd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15. </w:t>
      </w:r>
      <w:proofErr w:type="spellStart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>Slovenski</w:t>
      </w:r>
      <w:proofErr w:type="spellEnd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>dnevi</w:t>
      </w:r>
      <w:proofErr w:type="spellEnd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>Varstvoslovja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[Conference proceedings of the 15. Days of Criminal Justice and Security].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Fakulteta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varnostne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6B97">
        <w:rPr>
          <w:rFonts w:ascii="Times New Roman" w:hAnsi="Times New Roman" w:cs="Times New Roman"/>
          <w:sz w:val="24"/>
          <w:szCs w:val="24"/>
          <w:lang w:val="en-GB"/>
        </w:rPr>
        <w:t>vede</w:t>
      </w:r>
      <w:proofErr w:type="spellEnd"/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. https://www.fvv.um.si/dv2014/zbornik/Areh.pdf </w:t>
      </w:r>
    </w:p>
    <w:p w14:paraId="3618FC9D" w14:textId="77777777" w:rsidR="009000F5" w:rsidRPr="009000F5" w:rsidRDefault="009000F5" w:rsidP="00BE56C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Borak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N.,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Čepič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Z.,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Deželak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Barič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V.,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Dolenc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E., Ferenc, T., Fischer, J.,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Gabrič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Gašparič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Godeša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Guštin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D.,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Kacin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Wohinz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Kresal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F.,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Lazarević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Ž.,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Mlakar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Pančur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Perovšek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Prinčič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Režek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Studen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A. …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Vodopivec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, P. (2006).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Slovenska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novejša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zgodovina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od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programa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Zedinjena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Slovenija do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mednarodnega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priznanja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Republike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Slovenije</w:t>
      </w:r>
      <w:proofErr w:type="spellEnd"/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>: 1848–1992</w:t>
      </w:r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. [Recent Slovenian history: From the United Slovenia program to the international recognition of the Republic of Slovenia: 1848–1992].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Mladinska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knjiga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Inštitut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novejšo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zgodovino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1233753" w14:textId="7CFBBED3" w:rsidR="003567BA" w:rsidRPr="003567BA" w:rsidRDefault="003567BA" w:rsidP="00BE56C4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BA">
        <w:rPr>
          <w:rFonts w:ascii="Times New Roman" w:hAnsi="Times New Roman" w:cs="Times New Roman"/>
          <w:color w:val="000000"/>
          <w:sz w:val="24"/>
          <w:szCs w:val="24"/>
        </w:rPr>
        <w:t>Dvojmoč, M. (2019). Naročanje zasebnega varovanja med ceno in kakovostjo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Procurement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. V </w:t>
      </w:r>
      <w:r w:rsidRPr="00356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Smernice za javno naročanje storitev zasebnega varovanja: Zbornik prispevkov Dneva slovenskega zasebnega varovanja 2019: Ljubljana, 18. 11. 2019</w:t>
      </w:r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Guidelines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procurement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BE56C4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ceedings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Slovenian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7BA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2019: Ljubljana, 18 November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3567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E56C4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. 15–19). Zbornica za razvoj slovenskega zasebnega varovanja. </w:t>
      </w:r>
      <w:r w:rsidRPr="003567BA">
        <w:rPr>
          <w:rFonts w:ascii="Times New Roman" w:hAnsi="Times New Roman" w:cs="Times New Roman"/>
          <w:sz w:val="24"/>
          <w:szCs w:val="24"/>
        </w:rPr>
        <w:t>https://www.zrszv.si/media/DSZV%202019/ZBORNIK_2019.pdf</w:t>
      </w:r>
      <w:r w:rsidRPr="0035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AABF34" w14:textId="4FCE198B" w:rsidR="009000F5" w:rsidRPr="009000F5" w:rsidRDefault="009000F5" w:rsidP="00BE56C4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Hacin, R. (2018). </w:t>
      </w:r>
      <w:r w:rsidRPr="009000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Comparison of self-legitimacy of the prison staff and prisoner's perception of prison staff legitimacy </w:t>
      </w:r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[Doctoral dissertation].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Fakulteta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varnostne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0F5">
        <w:rPr>
          <w:rFonts w:ascii="Times New Roman" w:hAnsi="Times New Roman" w:cs="Times New Roman"/>
          <w:sz w:val="24"/>
          <w:szCs w:val="24"/>
          <w:lang w:val="en-GB"/>
        </w:rPr>
        <w:t>vede</w:t>
      </w:r>
      <w:proofErr w:type="spellEnd"/>
      <w:r w:rsidRPr="009000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3500B6C" w14:textId="176BFF11" w:rsidR="00DE4C9B" w:rsidRPr="00FD6B97" w:rsidRDefault="00FD6B97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Hacin, R., &amp; 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Meško, G. (2020). </w:t>
      </w:r>
      <w:proofErr w:type="spellStart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>Slovenski</w:t>
      </w:r>
      <w:proofErr w:type="spellEnd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>zaporski</w:t>
      </w:r>
      <w:proofErr w:type="spellEnd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>sistem</w:t>
      </w:r>
      <w:proofErr w:type="spellEnd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>razvoj</w:t>
      </w:r>
      <w:proofErr w:type="spellEnd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>stanje</w:t>
      </w:r>
      <w:proofErr w:type="spellEnd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po 25 </w:t>
      </w:r>
      <w:proofErr w:type="spellStart"/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>letih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[Slovenian prison system – Development and state after 25 years]</w:t>
      </w:r>
      <w:r w:rsidR="004900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4C9B" w:rsidRPr="00FD6B97">
        <w:rPr>
          <w:rFonts w:ascii="Times New Roman" w:hAnsi="Times New Roman" w:cs="Times New Roman"/>
          <w:i/>
          <w:sz w:val="24"/>
          <w:szCs w:val="24"/>
          <w:lang w:val="en-GB"/>
        </w:rPr>
        <w:t>Teorija</w:t>
      </w:r>
      <w:proofErr w:type="spellEnd"/>
      <w:r w:rsidR="00DE4C9B" w:rsidRPr="00FD6B9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 </w:t>
      </w:r>
      <w:proofErr w:type="spellStart"/>
      <w:r w:rsidR="00DE4C9B" w:rsidRPr="00FD6B97">
        <w:rPr>
          <w:rFonts w:ascii="Times New Roman" w:hAnsi="Times New Roman" w:cs="Times New Roman"/>
          <w:i/>
          <w:sz w:val="24"/>
          <w:szCs w:val="24"/>
          <w:lang w:val="en-GB"/>
        </w:rPr>
        <w:t>praksa</w:t>
      </w:r>
      <w:proofErr w:type="spellEnd"/>
      <w:r w:rsidR="00DE4C9B" w:rsidRPr="00FD6B97">
        <w:rPr>
          <w:rFonts w:ascii="Times New Roman" w:hAnsi="Times New Roman" w:cs="Times New Roman"/>
          <w:i/>
          <w:sz w:val="24"/>
          <w:szCs w:val="24"/>
          <w:lang w:val="en-GB"/>
        </w:rPr>
        <w:t>, 57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>(3), 770–785.</w:t>
      </w:r>
    </w:p>
    <w:p w14:paraId="6B013D9C" w14:textId="6A224EA8" w:rsidR="00215818" w:rsidRPr="00215818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GB"/>
        </w:rPr>
      </w:pP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Kornhauser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, P., &amp;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Gostiša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Kornhauser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, A. (2006).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Nasilje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nad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otrokom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družini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[Domestic violence upon children</w:t>
      </w:r>
      <w:r w:rsidR="009000F5">
        <w:rPr>
          <w:rFonts w:ascii="Times New Roman" w:hAnsi="Times New Roman" w:cs="Times New Roman"/>
          <w:sz w:val="24"/>
          <w:lang w:val="en-GB"/>
        </w:rPr>
        <w:t>]</w:t>
      </w:r>
      <w:r w:rsidRPr="00215818">
        <w:rPr>
          <w:rFonts w:ascii="Times New Roman" w:hAnsi="Times New Roman" w:cs="Times New Roman"/>
          <w:sz w:val="24"/>
          <w:lang w:val="en-GB"/>
        </w:rPr>
        <w:t xml:space="preserve">. In </w:t>
      </w:r>
      <w:r w:rsidRPr="00215818">
        <w:rPr>
          <w:rFonts w:ascii="Times New Roman" w:eastAsia="Times New Roman" w:hAnsi="Times New Roman" w:cs="Times New Roman"/>
          <w:sz w:val="24"/>
          <w:lang w:val="en-GB"/>
        </w:rPr>
        <w:t>J. Balažic</w:t>
      </w:r>
      <w:r w:rsidRPr="00215818">
        <w:rPr>
          <w:rFonts w:ascii="Times New Roman" w:hAnsi="Times New Roman" w:cs="Times New Roman"/>
          <w:sz w:val="24"/>
          <w:lang w:val="en-GB"/>
        </w:rPr>
        <w:t xml:space="preserve">, &amp; P. </w:t>
      </w: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Kornhauser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(Eds.),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Zloraba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 in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nasilje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 v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družini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 in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družbi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, XII.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Spominsko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srečanje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akademika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Janeza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Milčinskega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[Domestic violence and violence in the society, XII. </w:t>
      </w:r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Memorial meeting for the academic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Janez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Milčinski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>]</w:t>
      </w:r>
      <w:r w:rsidRPr="00215818">
        <w:rPr>
          <w:rFonts w:ascii="Times New Roman" w:hAnsi="Times New Roman" w:cs="Times New Roman"/>
          <w:sz w:val="24"/>
          <w:lang w:val="en-GB"/>
        </w:rPr>
        <w:t xml:space="preserve"> (pp. 83–97). </w:t>
      </w: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Inštitut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za </w:t>
      </w: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sodno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medicino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Medicinske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fakultete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733E9E55" w14:textId="42C861E5" w:rsidR="00DE4C9B" w:rsidRPr="00FD6B97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>Merriam-Webster (n.</w:t>
      </w:r>
      <w:r w:rsidR="0008187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d.). </w:t>
      </w:r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 xml:space="preserve">Merriam.Webster.com dictionary. 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https://www.merriam-webster.com </w:t>
      </w:r>
    </w:p>
    <w:p w14:paraId="3B18CD04" w14:textId="1C605EBE" w:rsidR="00215818" w:rsidRDefault="00215818" w:rsidP="00215818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Meško, G., Fields, C. B., Lobnikar, B., &amp; Sotlar, A. (Eds.). (2013). </w:t>
      </w:r>
      <w:r w:rsidRPr="00215818">
        <w:rPr>
          <w:rFonts w:ascii="Times New Roman" w:hAnsi="Times New Roman" w:cs="Times New Roman"/>
          <w:i/>
          <w:sz w:val="24"/>
          <w:szCs w:val="24"/>
          <w:lang w:val="en-GB"/>
        </w:rPr>
        <w:t>Handbook on policing in Central and Eastern Europe.</w:t>
      </w:r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 Springer. </w:t>
      </w:r>
    </w:p>
    <w:p w14:paraId="5BE0F729" w14:textId="333D2C2E" w:rsidR="0008187F" w:rsidRDefault="0008187F" w:rsidP="00215818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Ministrstvo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notranje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zadeve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Republike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Slovenije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. (2017). </w:t>
      </w:r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Svoboda,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varnost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pravičnost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Področje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pravosodja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notranjih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zadev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v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Evropski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uniji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08187F">
        <w:rPr>
          <w:rFonts w:ascii="Times New Roman" w:hAnsi="Times New Roman" w:cs="Times New Roman"/>
          <w:sz w:val="24"/>
          <w:szCs w:val="24"/>
          <w:lang w:val="en-GB"/>
        </w:rPr>
        <w:t>[Freedom, security and justice: The area of criminal justice and internal affairs in the European Union]. http://mnz.arhiv-spletisc.gov.si/si/o_ministrstvu/svoboda_varnost_in_pravicnost/</w:t>
      </w:r>
    </w:p>
    <w:p w14:paraId="5DBDB495" w14:textId="4CD4B4B5" w:rsidR="00DE4C9B" w:rsidRPr="00FD6B97" w:rsidRDefault="00DE4C9B" w:rsidP="00215818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Newman, O. (1972). </w:t>
      </w:r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>Defensible space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. Macmillan. </w:t>
      </w:r>
    </w:p>
    <w:p w14:paraId="51C59E7B" w14:textId="17254EFC" w:rsidR="00DE4C9B" w:rsidRPr="00FD6B97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Osterburg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J. W., &amp; 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Ward, R. H. (2000). </w:t>
      </w:r>
      <w:r w:rsidR="00DE4C9B" w:rsidRPr="00FD6B97">
        <w:rPr>
          <w:rFonts w:ascii="Times New Roman" w:hAnsi="Times New Roman" w:cs="Times New Roman"/>
          <w:i/>
          <w:sz w:val="24"/>
          <w:szCs w:val="24"/>
          <w:lang w:val="en-GB"/>
        </w:rPr>
        <w:t>Criminal investigation: A method for reconstruction the past</w:t>
      </w:r>
      <w:r w:rsidR="00DE4C9B"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(3rd ed.). Anderson Publishing. </w:t>
      </w:r>
    </w:p>
    <w:p w14:paraId="255DB32C" w14:textId="0D53DB1D" w:rsidR="00DE4C9B" w:rsidRPr="00FD6B97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6B97">
        <w:rPr>
          <w:rFonts w:ascii="Times New Roman" w:hAnsi="Times New Roman" w:cs="Times New Roman"/>
          <w:i/>
          <w:sz w:val="24"/>
          <w:szCs w:val="24"/>
          <w:lang w:val="en-GB"/>
        </w:rPr>
        <w:t>Oxford essential world atlas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(3rd ed.). (1996). Oxford University Press. </w:t>
      </w:r>
    </w:p>
    <w:p w14:paraId="53ADA584" w14:textId="4B1A43F8" w:rsidR="00215818" w:rsidRPr="00215818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18">
        <w:rPr>
          <w:rFonts w:ascii="Times New Roman" w:eastAsia="Times New Roman" w:hAnsi="Times New Roman" w:cs="Times New Roman"/>
          <w:sz w:val="24"/>
          <w:lang w:val="en-GB"/>
        </w:rPr>
        <w:t>Petrovec, D. (16.</w:t>
      </w:r>
      <w:r w:rsidR="0008187F">
        <w:rPr>
          <w:rFonts w:ascii="Times New Roman" w:eastAsia="Times New Roman" w:hAnsi="Times New Roman" w:cs="Times New Roman"/>
          <w:sz w:val="24"/>
          <w:lang w:val="en-GB"/>
        </w:rPr>
        <w:t> </w:t>
      </w:r>
      <w:r w:rsidRPr="00215818">
        <w:rPr>
          <w:rFonts w:ascii="Times New Roman" w:eastAsia="Times New Roman" w:hAnsi="Times New Roman" w:cs="Times New Roman"/>
          <w:sz w:val="24"/>
          <w:lang w:val="en-GB"/>
        </w:rPr>
        <w:t>1.</w:t>
      </w:r>
      <w:r w:rsidR="0008187F">
        <w:rPr>
          <w:rFonts w:ascii="Times New Roman" w:eastAsia="Times New Roman" w:hAnsi="Times New Roman" w:cs="Times New Roman"/>
          <w:sz w:val="24"/>
          <w:lang w:val="en-GB"/>
        </w:rPr>
        <w:t> </w:t>
      </w:r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2017).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Vrhunska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znanost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črn</w:t>
      </w:r>
      <w:proofErr w:type="spellEnd"/>
      <w:r w:rsidRPr="0021581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sz w:val="24"/>
          <w:lang w:val="en-GB"/>
        </w:rPr>
        <w:t>otrok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</w:t>
      </w:r>
      <w:r w:rsidRPr="00215818">
        <w:rPr>
          <w:rFonts w:ascii="Times New Roman" w:eastAsia="Times New Roman" w:hAnsi="Times New Roman" w:cs="Times New Roman"/>
          <w:sz w:val="24"/>
          <w:lang w:val="en-GB"/>
        </w:rPr>
        <w:t>[Top science and a black child]</w:t>
      </w:r>
      <w:r w:rsidRPr="00215818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Dnevnik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, 67</w:t>
      </w:r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(12), 14. </w:t>
      </w:r>
    </w:p>
    <w:p w14:paraId="18CE3FA2" w14:textId="49AE4DF8" w:rsidR="00215818" w:rsidRPr="00215818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15818">
        <w:rPr>
          <w:rFonts w:ascii="Times New Roman" w:hAnsi="Times New Roman" w:cs="Times New Roman"/>
          <w:sz w:val="24"/>
          <w:szCs w:val="24"/>
          <w:lang w:val="en-GB"/>
        </w:rPr>
        <w:t>Pittau</w:t>
      </w:r>
      <w:proofErr w:type="spellEnd"/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, J. (1983). Meiji constitution. In </w:t>
      </w:r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Kodansha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encyclopedia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of Japan</w:t>
      </w:r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 (Vol. 2) (pp. 1–3). Kodansha. </w:t>
      </w:r>
    </w:p>
    <w:p w14:paraId="09023888" w14:textId="30F129FC" w:rsidR="00215818" w:rsidRPr="00215818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GB"/>
        </w:rPr>
      </w:pP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Pomisleki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glede </w:t>
      </w:r>
      <w:proofErr w:type="spellStart"/>
      <w:r w:rsidRPr="00215818">
        <w:rPr>
          <w:rFonts w:ascii="Times New Roman" w:hAnsi="Times New Roman" w:cs="Times New Roman"/>
          <w:sz w:val="24"/>
          <w:lang w:val="en-GB"/>
        </w:rPr>
        <w:t>prodaje</w:t>
      </w:r>
      <w:proofErr w:type="spellEnd"/>
      <w:r w:rsidRPr="00215818">
        <w:rPr>
          <w:rFonts w:ascii="Times New Roman" w:hAnsi="Times New Roman" w:cs="Times New Roman"/>
          <w:sz w:val="24"/>
          <w:lang w:val="en-GB"/>
        </w:rPr>
        <w:t xml:space="preserve"> NLB </w:t>
      </w:r>
      <w:r w:rsidRPr="00215818">
        <w:rPr>
          <w:rFonts w:ascii="Times New Roman" w:eastAsia="Times New Roman" w:hAnsi="Times New Roman" w:cs="Times New Roman"/>
          <w:sz w:val="24"/>
          <w:lang w:val="en-GB"/>
        </w:rPr>
        <w:t>[Concerns about NLB sales]</w:t>
      </w:r>
      <w:r w:rsidRPr="00215818">
        <w:rPr>
          <w:rFonts w:ascii="Times New Roman" w:hAnsi="Times New Roman" w:cs="Times New Roman"/>
          <w:sz w:val="24"/>
          <w:lang w:val="en-GB"/>
        </w:rPr>
        <w:t>. (30.</w:t>
      </w:r>
      <w:r w:rsidR="0008187F">
        <w:rPr>
          <w:rFonts w:ascii="Times New Roman" w:hAnsi="Times New Roman" w:cs="Times New Roman"/>
          <w:sz w:val="24"/>
          <w:lang w:val="en-GB"/>
        </w:rPr>
        <w:t> </w:t>
      </w:r>
      <w:r w:rsidRPr="00215818">
        <w:rPr>
          <w:rFonts w:ascii="Times New Roman" w:hAnsi="Times New Roman" w:cs="Times New Roman"/>
          <w:sz w:val="24"/>
          <w:lang w:val="en-GB"/>
        </w:rPr>
        <w:t>3.</w:t>
      </w:r>
      <w:r w:rsidR="0008187F">
        <w:rPr>
          <w:rFonts w:ascii="Times New Roman" w:hAnsi="Times New Roman" w:cs="Times New Roman"/>
          <w:sz w:val="24"/>
          <w:lang w:val="en-GB"/>
        </w:rPr>
        <w:t> </w:t>
      </w:r>
      <w:r w:rsidRPr="00215818">
        <w:rPr>
          <w:rFonts w:ascii="Times New Roman" w:hAnsi="Times New Roman" w:cs="Times New Roman"/>
          <w:sz w:val="24"/>
          <w:lang w:val="en-GB"/>
        </w:rPr>
        <w:t xml:space="preserve">2017).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Dnevnik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lang w:val="en-GB"/>
        </w:rPr>
        <w:t>, 67</w:t>
      </w:r>
      <w:r w:rsidRPr="00215818">
        <w:rPr>
          <w:rFonts w:ascii="Times New Roman" w:hAnsi="Times New Roman" w:cs="Times New Roman"/>
          <w:sz w:val="24"/>
          <w:lang w:val="en-GB"/>
        </w:rPr>
        <w:t xml:space="preserve">(74), 3. </w:t>
      </w:r>
    </w:p>
    <w:p w14:paraId="6754339B" w14:textId="2EE47174" w:rsidR="00215818" w:rsidRPr="00215818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Slovar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slovenskega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knjižnega</w:t>
      </w:r>
      <w:proofErr w:type="spellEnd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jezika</w:t>
      </w:r>
      <w:proofErr w:type="spellEnd"/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5818">
        <w:rPr>
          <w:rFonts w:ascii="Times New Roman" w:eastAsia="Times New Roman" w:hAnsi="Times New Roman" w:cs="Times New Roman"/>
          <w:sz w:val="24"/>
          <w:szCs w:val="24"/>
          <w:lang w:val="en-GB"/>
        </w:rPr>
        <w:t>[Dictionary of Slovenian Literary language]</w:t>
      </w:r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. (1994). DZS. </w:t>
      </w:r>
    </w:p>
    <w:p w14:paraId="078221E5" w14:textId="0CE13EDE" w:rsidR="00215818" w:rsidRPr="00215818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15818">
        <w:rPr>
          <w:rFonts w:ascii="Times New Roman" w:hAnsi="Times New Roman" w:cs="Times New Roman"/>
          <w:sz w:val="24"/>
          <w:szCs w:val="24"/>
          <w:lang w:val="en-GB"/>
        </w:rPr>
        <w:t>Smallbone</w:t>
      </w:r>
      <w:proofErr w:type="spellEnd"/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, S., Marshall, W. L., &amp; Wortley, R. (2009). </w:t>
      </w:r>
      <w:r w:rsidRPr="002158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Preventing child sexual abuse, evidence, policy and practice</w:t>
      </w:r>
      <w:r w:rsidRPr="00215818">
        <w:rPr>
          <w:rFonts w:ascii="Times New Roman" w:hAnsi="Times New Roman" w:cs="Times New Roman"/>
          <w:sz w:val="24"/>
          <w:szCs w:val="24"/>
          <w:lang w:val="en-GB"/>
        </w:rPr>
        <w:t xml:space="preserve">. Willan Publishing. </w:t>
      </w:r>
    </w:p>
    <w:p w14:paraId="326A7CE9" w14:textId="633470E0" w:rsidR="00DE4C9B" w:rsidRDefault="00DE4C9B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15818">
        <w:rPr>
          <w:rFonts w:ascii="Times New Roman" w:hAnsi="Times New Roman" w:cs="Times New Roman"/>
          <w:sz w:val="24"/>
          <w:szCs w:val="24"/>
          <w:lang w:val="en-GB"/>
        </w:rPr>
        <w:t>Spaseski</w:t>
      </w:r>
      <w:proofErr w:type="spellEnd"/>
      <w:r w:rsidRPr="00215818">
        <w:rPr>
          <w:rFonts w:ascii="Times New Roman" w:hAnsi="Times New Roman" w:cs="Times New Roman"/>
          <w:sz w:val="24"/>
          <w:szCs w:val="24"/>
          <w:lang w:val="en-GB"/>
        </w:rPr>
        <w:t>, J. (2009). Private security as an integral part of the single security system.</w:t>
      </w:r>
      <w:r w:rsidRPr="00FD6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900C6">
        <w:rPr>
          <w:rFonts w:ascii="Times New Roman" w:hAnsi="Times New Roman" w:cs="Times New Roman"/>
          <w:i/>
          <w:sz w:val="24"/>
          <w:szCs w:val="24"/>
          <w:lang w:val="en-GB"/>
        </w:rPr>
        <w:t>Varstvoslovje, 11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(2), 305–315. </w:t>
      </w:r>
    </w:p>
    <w:p w14:paraId="6DDB2DCB" w14:textId="73099583" w:rsidR="0008187F" w:rsidRPr="004900C6" w:rsidRDefault="0008187F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Tanackovič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>, T. (22.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08187F">
        <w:rPr>
          <w:rFonts w:ascii="Times New Roman" w:hAnsi="Times New Roman" w:cs="Times New Roman"/>
          <w:sz w:val="24"/>
          <w:szCs w:val="24"/>
          <w:lang w:val="en-GB"/>
        </w:rPr>
        <w:t>3.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2002). O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motivu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še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domnevajo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[They are still conjecturing about the motive]. </w:t>
      </w:r>
      <w:proofErr w:type="spellStart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Dnevnik</w:t>
      </w:r>
      <w:proofErr w:type="spellEnd"/>
      <w:r w:rsidRPr="0008187F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https://www.dnevnik.si/20002</w:t>
      </w:r>
    </w:p>
    <w:p w14:paraId="7CCD727D" w14:textId="5F5B8CF1" w:rsidR="00215818" w:rsidRPr="004900C6" w:rsidRDefault="00215818" w:rsidP="00DE4C9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Taylor, M., Holland, G., &amp; Quayle, E. (2001). Typology of </w:t>
      </w:r>
      <w:proofErr w:type="spellStart"/>
      <w:r w:rsidRPr="004900C6">
        <w:rPr>
          <w:rFonts w:ascii="Times New Roman" w:hAnsi="Times New Roman" w:cs="Times New Roman"/>
          <w:sz w:val="24"/>
          <w:szCs w:val="24"/>
          <w:lang w:val="en-GB"/>
        </w:rPr>
        <w:t>peadophile</w:t>
      </w:r>
      <w:proofErr w:type="spellEnd"/>
      <w:r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picture collections. </w:t>
      </w:r>
      <w:r w:rsidRPr="004900C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Police Journal, 74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, 97–107.</w:t>
      </w:r>
    </w:p>
    <w:p w14:paraId="603EB236" w14:textId="4AB78A5C" w:rsidR="00215818" w:rsidRPr="0008187F" w:rsidRDefault="00215818" w:rsidP="00E14BE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GB"/>
        </w:rPr>
      </w:pP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Uprava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Republike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Slovenije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 xml:space="preserve"> za </w:t>
      </w: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izvrševanje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kazenskih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sankcij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 xml:space="preserve">. (2019). </w:t>
      </w:r>
      <w:proofErr w:type="spellStart"/>
      <w:r w:rsidRPr="004900C6">
        <w:rPr>
          <w:rFonts w:ascii="Times New Roman" w:eastAsia="Times New Roman" w:hAnsi="Times New Roman" w:cs="Times New Roman"/>
          <w:i/>
          <w:sz w:val="24"/>
          <w:lang w:val="en-GB"/>
        </w:rPr>
        <w:t>Letno</w:t>
      </w:r>
      <w:proofErr w:type="spellEnd"/>
      <w:r w:rsidRPr="004900C6">
        <w:rPr>
          <w:rFonts w:ascii="Times New Roman" w:eastAsia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Pr="004900C6">
        <w:rPr>
          <w:rFonts w:ascii="Times New Roman" w:eastAsia="Times New Roman" w:hAnsi="Times New Roman" w:cs="Times New Roman"/>
          <w:i/>
          <w:sz w:val="24"/>
          <w:lang w:val="en-GB"/>
        </w:rPr>
        <w:t>poročilo</w:t>
      </w:r>
      <w:proofErr w:type="spellEnd"/>
      <w:r w:rsidRPr="004900C6">
        <w:rPr>
          <w:rFonts w:ascii="Times New Roman" w:eastAsia="Times New Roman" w:hAnsi="Times New Roman" w:cs="Times New Roman"/>
          <w:i/>
          <w:sz w:val="24"/>
          <w:lang w:val="en-GB"/>
        </w:rPr>
        <w:t xml:space="preserve"> 2018</w:t>
      </w:r>
      <w:r w:rsidRPr="004900C6">
        <w:rPr>
          <w:rFonts w:ascii="Times New Roman" w:hAnsi="Times New Roman" w:cs="Times New Roman"/>
          <w:sz w:val="24"/>
          <w:lang w:val="en-GB"/>
        </w:rPr>
        <w:t xml:space="preserve"> [Annual </w:t>
      </w:r>
      <w:r w:rsidRPr="004900C6">
        <w:rPr>
          <w:rFonts w:ascii="Times New Roman" w:eastAsia="Times New Roman" w:hAnsi="Times New Roman" w:cs="Times New Roman"/>
          <w:sz w:val="24"/>
          <w:lang w:val="en-GB"/>
        </w:rPr>
        <w:t>report 2018]</w:t>
      </w:r>
      <w:r w:rsidRPr="004900C6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Ministrstvo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 xml:space="preserve"> za </w:t>
      </w:r>
      <w:proofErr w:type="spellStart"/>
      <w:r w:rsidRPr="004900C6">
        <w:rPr>
          <w:rFonts w:ascii="Times New Roman" w:hAnsi="Times New Roman" w:cs="Times New Roman"/>
          <w:sz w:val="24"/>
          <w:lang w:val="en-GB"/>
        </w:rPr>
        <w:t>pravosodje</w:t>
      </w:r>
      <w:proofErr w:type="spellEnd"/>
      <w:r w:rsidRPr="004900C6">
        <w:rPr>
          <w:rFonts w:ascii="Times New Roman" w:hAnsi="Times New Roman" w:cs="Times New Roman"/>
          <w:sz w:val="24"/>
          <w:lang w:val="en-GB"/>
        </w:rPr>
        <w:t>.</w:t>
      </w:r>
    </w:p>
    <w:p w14:paraId="7E43CAA7" w14:textId="09C263B4" w:rsidR="0008187F" w:rsidRPr="0008187F" w:rsidRDefault="0008187F" w:rsidP="00E14BE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Ustavno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sodišče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Republike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187F">
        <w:rPr>
          <w:rFonts w:ascii="Times New Roman" w:hAnsi="Times New Roman" w:cs="Times New Roman"/>
          <w:sz w:val="24"/>
          <w:szCs w:val="24"/>
          <w:lang w:val="en-GB"/>
        </w:rPr>
        <w:t>Slovenije</w:t>
      </w:r>
      <w:proofErr w:type="spellEnd"/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. (2006). </w:t>
      </w:r>
      <w:r w:rsidRPr="0008187F">
        <w:rPr>
          <w:rFonts w:ascii="Times New Roman" w:eastAsia="Times New Roman" w:hAnsi="Times New Roman" w:cs="Times New Roman"/>
          <w:sz w:val="24"/>
          <w:szCs w:val="24"/>
        </w:rPr>
        <w:t>Odločba št. Up-124/04-20 z dne 9. 11. 2006 [</w:t>
      </w:r>
      <w:proofErr w:type="spellStart"/>
      <w:r w:rsidRPr="0008187F">
        <w:rPr>
          <w:rFonts w:ascii="Times New Roman" w:eastAsia="Times New Roman" w:hAnsi="Times New Roman" w:cs="Times New Roman"/>
          <w:sz w:val="24"/>
          <w:szCs w:val="24"/>
        </w:rPr>
        <w:t>Decision</w:t>
      </w:r>
      <w:proofErr w:type="spellEnd"/>
      <w:r w:rsidRPr="0008187F">
        <w:rPr>
          <w:rFonts w:ascii="Times New Roman" w:eastAsia="Times New Roman" w:hAnsi="Times New Roman" w:cs="Times New Roman"/>
          <w:sz w:val="24"/>
          <w:szCs w:val="24"/>
        </w:rPr>
        <w:t xml:space="preserve"> no. Up-124/04-20 </w:t>
      </w:r>
      <w:proofErr w:type="spellStart"/>
      <w:r w:rsidRPr="0008187F">
        <w:rPr>
          <w:rFonts w:ascii="Times New Roman" w:eastAsia="Times New Roman" w:hAnsi="Times New Roman" w:cs="Times New Roman"/>
          <w:sz w:val="24"/>
          <w:szCs w:val="24"/>
        </w:rPr>
        <w:t>dated</w:t>
      </w:r>
      <w:proofErr w:type="spellEnd"/>
      <w:r w:rsidRPr="0008187F">
        <w:rPr>
          <w:rFonts w:ascii="Times New Roman" w:eastAsia="Times New Roman" w:hAnsi="Times New Roman" w:cs="Times New Roman"/>
          <w:sz w:val="24"/>
          <w:szCs w:val="24"/>
        </w:rPr>
        <w:t xml:space="preserve"> November 9, 2006].</w:t>
      </w:r>
      <w:r w:rsidRPr="0008187F">
        <w:rPr>
          <w:rFonts w:ascii="Times New Roman" w:hAnsi="Times New Roman" w:cs="Times New Roman"/>
          <w:sz w:val="24"/>
          <w:szCs w:val="24"/>
          <w:lang w:val="en-GB"/>
        </w:rPr>
        <w:t xml:space="preserve"> http://odlocitve.us-rs.si/sl/odlocitev/US26805</w:t>
      </w:r>
    </w:p>
    <w:p w14:paraId="6C1056C1" w14:textId="29CFE0B9" w:rsidR="005D3BFB" w:rsidRPr="005D3BFB" w:rsidRDefault="005D3BFB" w:rsidP="00E14BE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Zakon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izvrševanju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kazenskih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sankcij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[Enforcement of Criminal Sanctions Act] (ZIKS-1-UPB1). (2006). </w:t>
      </w:r>
      <w:proofErr w:type="spellStart"/>
      <w:r w:rsidRPr="005D3BFB">
        <w:rPr>
          <w:rFonts w:ascii="Times New Roman" w:hAnsi="Times New Roman" w:cs="Times New Roman"/>
          <w:i/>
          <w:sz w:val="24"/>
          <w:szCs w:val="24"/>
          <w:lang w:val="en-GB"/>
        </w:rPr>
        <w:t>Uradni</w:t>
      </w:r>
      <w:proofErr w:type="spellEnd"/>
      <w:r w:rsidRPr="005D3BF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list RS</w:t>
      </w:r>
      <w:r w:rsidRPr="005D3BFB">
        <w:rPr>
          <w:rFonts w:ascii="Times New Roman" w:hAnsi="Times New Roman" w:cs="Times New Roman"/>
          <w:sz w:val="24"/>
          <w:szCs w:val="24"/>
          <w:lang w:val="en-GB"/>
        </w:rPr>
        <w:t>, (110/06).</w:t>
      </w:r>
    </w:p>
    <w:p w14:paraId="26ECD36E" w14:textId="29C72545" w:rsidR="005D3BFB" w:rsidRPr="005D3BFB" w:rsidRDefault="005D3BFB" w:rsidP="00E14BE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Zakon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spremembah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dopolnitvah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izvrševanju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kazenskih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3BFB">
        <w:rPr>
          <w:rFonts w:ascii="Times New Roman" w:hAnsi="Times New Roman" w:cs="Times New Roman"/>
          <w:sz w:val="24"/>
          <w:szCs w:val="24"/>
          <w:lang w:val="en-GB"/>
        </w:rPr>
        <w:t>sankcij</w:t>
      </w:r>
      <w:proofErr w:type="spellEnd"/>
      <w:r w:rsidRPr="005D3BFB">
        <w:rPr>
          <w:rFonts w:ascii="Times New Roman" w:hAnsi="Times New Roman" w:cs="Times New Roman"/>
          <w:sz w:val="24"/>
          <w:szCs w:val="24"/>
          <w:lang w:val="en-GB"/>
        </w:rPr>
        <w:t xml:space="preserve"> [Act Amending the Enforcement of Criminal Sanctions Act] (ZIKS-1B). (2006). </w:t>
      </w:r>
      <w:proofErr w:type="spellStart"/>
      <w:r w:rsidRPr="005D3BFB">
        <w:rPr>
          <w:rFonts w:ascii="Times New Roman" w:hAnsi="Times New Roman" w:cs="Times New Roman"/>
          <w:i/>
          <w:sz w:val="24"/>
          <w:szCs w:val="24"/>
          <w:lang w:val="en-GB"/>
        </w:rPr>
        <w:t>Uradni</w:t>
      </w:r>
      <w:proofErr w:type="spellEnd"/>
      <w:r w:rsidRPr="005D3BF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list RS</w:t>
      </w:r>
      <w:r w:rsidRPr="005D3BFB">
        <w:rPr>
          <w:rFonts w:ascii="Times New Roman" w:hAnsi="Times New Roman" w:cs="Times New Roman"/>
          <w:sz w:val="24"/>
          <w:szCs w:val="24"/>
          <w:lang w:val="en-GB"/>
        </w:rPr>
        <w:t>, (70/06).</w:t>
      </w:r>
    </w:p>
    <w:p w14:paraId="4086A7C2" w14:textId="77777777" w:rsidR="00E14BEB" w:rsidRPr="004900C6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DE943F" w14:textId="3CA48C0A" w:rsidR="00E14BEB" w:rsidRPr="004900C6" w:rsidRDefault="00BA4630" w:rsidP="00E14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4900C6">
        <w:rPr>
          <w:rFonts w:ascii="Times New Roman" w:hAnsi="Times New Roman" w:cs="Times New Roman"/>
          <w:b/>
          <w:sz w:val="28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4900C6">
        <w:rPr>
          <w:rFonts w:ascii="Times New Roman" w:hAnsi="Times New Roman" w:cs="Times New Roman"/>
          <w:b/>
          <w:sz w:val="28"/>
          <w:szCs w:val="24"/>
          <w:lang w:val="en-GB"/>
        </w:rPr>
        <w:t>translation of the title of the article</w:t>
      </w:r>
    </w:p>
    <w:p w14:paraId="5DE9F566" w14:textId="77777777" w:rsidR="00E14BEB" w:rsidRPr="004900C6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7832F4" w14:textId="2B46EC32" w:rsidR="00E14BEB" w:rsidRPr="004900C6" w:rsidRDefault="009000F5" w:rsidP="00D44D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4900C6" w:rsidRPr="004900C6">
        <w:rPr>
          <w:rFonts w:ascii="Times New Roman" w:hAnsi="Times New Roman" w:cs="Times New Roman"/>
          <w:sz w:val="24"/>
          <w:lang w:val="en-GB"/>
        </w:rPr>
        <w:t>Name and surname</w:t>
      </w:r>
      <w:r w:rsidR="00D44D04" w:rsidRPr="004900C6">
        <w:rPr>
          <w:rFonts w:ascii="Times New Roman" w:hAnsi="Times New Roman" w:cs="Times New Roman"/>
          <w:sz w:val="24"/>
          <w:lang w:val="en-GB"/>
        </w:rPr>
        <w:t xml:space="preserve">, </w:t>
      </w:r>
      <w:r w:rsidR="004900C6" w:rsidRPr="004900C6">
        <w:rPr>
          <w:rFonts w:ascii="Times New Roman" w:hAnsi="Times New Roman" w:cs="Times New Roman"/>
          <w:sz w:val="24"/>
          <w:lang w:val="en-GB"/>
        </w:rPr>
        <w:t>Position, Faculty, University, Country. E-</w:t>
      </w:r>
      <w:proofErr w:type="spellStart"/>
      <w:r w:rsidR="004900C6" w:rsidRPr="004900C6">
        <w:rPr>
          <w:rFonts w:ascii="Times New Roman" w:hAnsi="Times New Roman" w:cs="Times New Roman"/>
          <w:sz w:val="24"/>
          <w:lang w:val="en-GB"/>
        </w:rPr>
        <w:t>pošta</w:t>
      </w:r>
      <w:proofErr w:type="spellEnd"/>
      <w:r w:rsidR="004900C6" w:rsidRPr="004900C6">
        <w:rPr>
          <w:rFonts w:ascii="Times New Roman" w:hAnsi="Times New Roman" w:cs="Times New Roman"/>
          <w:sz w:val="24"/>
          <w:lang w:val="en-GB"/>
        </w:rPr>
        <w:t>:</w:t>
      </w:r>
    </w:p>
    <w:p w14:paraId="65479FDE" w14:textId="77777777" w:rsidR="00D44D04" w:rsidRPr="004900C6" w:rsidRDefault="00D44D04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CCF0C7" w14:textId="77EF64CE" w:rsidR="00E14BEB" w:rsidRPr="004900C6" w:rsidRDefault="004900C6" w:rsidP="00D44D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900C6">
        <w:rPr>
          <w:rFonts w:ascii="Times New Roman" w:hAnsi="Times New Roman" w:cs="Times New Roman"/>
          <w:sz w:val="24"/>
          <w:szCs w:val="24"/>
          <w:lang w:val="en-GB"/>
        </w:rPr>
        <w:t>Name and surname, Position, Department, Institution, Country. E-</w:t>
      </w:r>
      <w:proofErr w:type="spellStart"/>
      <w:r w:rsidRPr="004900C6">
        <w:rPr>
          <w:rFonts w:ascii="Times New Roman" w:hAnsi="Times New Roman" w:cs="Times New Roman"/>
          <w:sz w:val="24"/>
          <w:szCs w:val="24"/>
          <w:lang w:val="en-GB"/>
        </w:rPr>
        <w:t>pošta</w:t>
      </w:r>
      <w:proofErr w:type="spellEnd"/>
      <w:r w:rsidRPr="004900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C3DAFB3" w14:textId="77777777" w:rsidR="00E14BEB" w:rsidRPr="004900C6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8A42B7" w14:textId="3D9B1F5A" w:rsidR="00E14BEB" w:rsidRPr="004900C6" w:rsidRDefault="00BA4630" w:rsidP="00D44D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97" w:rsidRPr="004900C6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2E3467" w14:textId="77777777" w:rsidR="00E14BEB" w:rsidRPr="004900C6" w:rsidRDefault="00E14BEB" w:rsidP="00E14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9D5006" w14:textId="5728B0D9" w:rsidR="00E14BEB" w:rsidRPr="00FD6B97" w:rsidRDefault="004900C6" w:rsidP="00D44D0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900C6">
        <w:rPr>
          <w:rFonts w:ascii="Times New Roman" w:hAnsi="Times New Roman" w:cs="Times New Roman"/>
          <w:b/>
          <w:sz w:val="24"/>
          <w:szCs w:val="24"/>
          <w:lang w:val="en-GB"/>
        </w:rPr>
        <w:t>Ključne</w:t>
      </w:r>
      <w:proofErr w:type="spellEnd"/>
      <w:r w:rsidRPr="004900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900C6">
        <w:rPr>
          <w:rFonts w:ascii="Times New Roman" w:hAnsi="Times New Roman" w:cs="Times New Roman"/>
          <w:b/>
          <w:sz w:val="24"/>
          <w:szCs w:val="24"/>
          <w:lang w:val="en-GB"/>
        </w:rPr>
        <w:t>besede</w:t>
      </w:r>
      <w:proofErr w:type="spellEnd"/>
      <w:r w:rsidR="00D44D04" w:rsidRPr="004900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D44D04" w:rsidRPr="004900C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A4630" w:rsidRPr="004900C6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translation of keywords</w:t>
      </w:r>
      <w:r w:rsidR="00D44D04" w:rsidRPr="004900C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 1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2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3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4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keyword</w:t>
      </w:r>
      <w:r w:rsidR="00E14BEB" w:rsidRPr="004900C6">
        <w:rPr>
          <w:rFonts w:ascii="Times New Roman" w:hAnsi="Times New Roman" w:cs="Times New Roman"/>
          <w:sz w:val="24"/>
          <w:szCs w:val="24"/>
          <w:lang w:val="en-GB"/>
        </w:rPr>
        <w:t xml:space="preserve">, 5 </w:t>
      </w:r>
      <w:r w:rsidRPr="004900C6">
        <w:rPr>
          <w:rFonts w:ascii="Times New Roman" w:hAnsi="Times New Roman" w:cs="Times New Roman"/>
          <w:sz w:val="24"/>
          <w:szCs w:val="24"/>
          <w:lang w:val="en-GB"/>
        </w:rPr>
        <w:t>keyword</w:t>
      </w:r>
    </w:p>
    <w:sectPr w:rsidR="00E14BEB" w:rsidRPr="00FD6B9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871B" w14:textId="77777777" w:rsidR="0045376E" w:rsidRDefault="0045376E" w:rsidP="00E97EAB">
      <w:pPr>
        <w:spacing w:after="0" w:line="240" w:lineRule="auto"/>
      </w:pPr>
      <w:r>
        <w:separator/>
      </w:r>
    </w:p>
  </w:endnote>
  <w:endnote w:type="continuationSeparator" w:id="0">
    <w:p w14:paraId="6DF9C0C1" w14:textId="77777777" w:rsidR="0045376E" w:rsidRDefault="0045376E" w:rsidP="00E9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896239822"/>
      <w:docPartObj>
        <w:docPartGallery w:val="Page Numbers (Bottom of Page)"/>
        <w:docPartUnique/>
      </w:docPartObj>
    </w:sdtPr>
    <w:sdtEndPr/>
    <w:sdtContent>
      <w:p w14:paraId="6216393E" w14:textId="3313DB36" w:rsidR="00FD6B97" w:rsidRPr="00E97EAB" w:rsidRDefault="00FD6B97">
        <w:pPr>
          <w:pStyle w:val="Noga"/>
          <w:jc w:val="center"/>
          <w:rPr>
            <w:rFonts w:ascii="Times New Roman" w:hAnsi="Times New Roman" w:cs="Times New Roman"/>
            <w:sz w:val="20"/>
          </w:rPr>
        </w:pPr>
        <w:r w:rsidRPr="00E97EAB">
          <w:rPr>
            <w:rFonts w:ascii="Times New Roman" w:hAnsi="Times New Roman" w:cs="Times New Roman"/>
            <w:sz w:val="20"/>
          </w:rPr>
          <w:fldChar w:fldCharType="begin"/>
        </w:r>
        <w:r w:rsidRPr="00E97EAB">
          <w:rPr>
            <w:rFonts w:ascii="Times New Roman" w:hAnsi="Times New Roman" w:cs="Times New Roman"/>
            <w:sz w:val="20"/>
          </w:rPr>
          <w:instrText>PAGE   \* MERGEFORMAT</w:instrText>
        </w:r>
        <w:r w:rsidRPr="00E97EAB">
          <w:rPr>
            <w:rFonts w:ascii="Times New Roman" w:hAnsi="Times New Roman" w:cs="Times New Roman"/>
            <w:sz w:val="20"/>
          </w:rPr>
          <w:fldChar w:fldCharType="separate"/>
        </w:r>
        <w:r w:rsidR="004900C6">
          <w:rPr>
            <w:rFonts w:ascii="Times New Roman" w:hAnsi="Times New Roman" w:cs="Times New Roman"/>
            <w:noProof/>
            <w:sz w:val="20"/>
          </w:rPr>
          <w:t>4</w:t>
        </w:r>
        <w:r w:rsidRPr="00E97EAB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C114" w14:textId="77777777" w:rsidR="0045376E" w:rsidRDefault="0045376E" w:rsidP="00E97EAB">
      <w:pPr>
        <w:spacing w:after="0" w:line="240" w:lineRule="auto"/>
      </w:pPr>
      <w:r>
        <w:separator/>
      </w:r>
    </w:p>
  </w:footnote>
  <w:footnote w:type="continuationSeparator" w:id="0">
    <w:p w14:paraId="6158CC8D" w14:textId="77777777" w:rsidR="0045376E" w:rsidRDefault="0045376E" w:rsidP="00E97EAB">
      <w:pPr>
        <w:spacing w:after="0" w:line="240" w:lineRule="auto"/>
      </w:pPr>
      <w:r>
        <w:continuationSeparator/>
      </w:r>
    </w:p>
  </w:footnote>
  <w:footnote w:id="1">
    <w:p w14:paraId="310B7152" w14:textId="24F085BB" w:rsidR="00FD6B97" w:rsidRPr="00FD6B97" w:rsidRDefault="00FD6B97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  <w:lang w:val="en-GB"/>
        </w:rPr>
      </w:pPr>
      <w:r w:rsidRPr="00FD6B97">
        <w:rPr>
          <w:rStyle w:val="Sprotnaopomba-sklic"/>
          <w:rFonts w:ascii="Times New Roman" w:hAnsi="Times New Roman" w:cs="Times New Roman"/>
          <w:lang w:val="en-GB"/>
        </w:rPr>
        <w:footnoteRef/>
      </w:r>
      <w:r w:rsidRPr="00FD6B97">
        <w:rPr>
          <w:rFonts w:ascii="Times New Roman" w:hAnsi="Times New Roman" w:cs="Times New Roman"/>
          <w:lang w:val="en-GB"/>
        </w:rPr>
        <w:t xml:space="preserve"> Indication of the project and the project financier (if the </w:t>
      </w:r>
      <w:r w:rsidR="004900C6">
        <w:rPr>
          <w:rFonts w:ascii="Times New Roman" w:hAnsi="Times New Roman" w:cs="Times New Roman"/>
          <w:lang w:val="en-GB"/>
        </w:rPr>
        <w:t>article is the product of the work</w:t>
      </w:r>
      <w:r w:rsidRPr="00FD6B97">
        <w:rPr>
          <w:rFonts w:ascii="Times New Roman" w:hAnsi="Times New Roman" w:cs="Times New Roman"/>
          <w:lang w:val="en-GB"/>
        </w:rPr>
        <w:t xml:space="preserve"> within the project).</w:t>
      </w:r>
    </w:p>
  </w:footnote>
  <w:footnote w:id="2">
    <w:p w14:paraId="1F0729BD" w14:textId="156B9391" w:rsidR="00FD6B97" w:rsidRPr="00FD6B97" w:rsidRDefault="00FD6B97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  <w:lang w:val="en-GB"/>
        </w:rPr>
      </w:pPr>
      <w:r w:rsidRPr="00FD6B97">
        <w:rPr>
          <w:rStyle w:val="Sprotnaopomba-sklic"/>
          <w:rFonts w:ascii="Times New Roman" w:hAnsi="Times New Roman" w:cs="Times New Roman"/>
          <w:lang w:val="en-GB"/>
        </w:rPr>
        <w:footnoteRef/>
      </w:r>
      <w:r w:rsidRPr="00FD6B97">
        <w:rPr>
          <w:rFonts w:ascii="Times New Roman" w:hAnsi="Times New Roman" w:cs="Times New Roman"/>
          <w:lang w:val="en-GB"/>
        </w:rPr>
        <w:t xml:space="preserve"> Name and surname, Ph.D., </w:t>
      </w:r>
      <w:r>
        <w:rPr>
          <w:rFonts w:ascii="Times New Roman" w:hAnsi="Times New Roman" w:cs="Times New Roman"/>
          <w:lang w:val="en-GB"/>
        </w:rPr>
        <w:t>P</w:t>
      </w:r>
      <w:r w:rsidRPr="00FD6B97">
        <w:rPr>
          <w:rFonts w:ascii="Times New Roman" w:hAnsi="Times New Roman" w:cs="Times New Roman"/>
          <w:lang w:val="en-GB"/>
        </w:rPr>
        <w:t>osition, Faculty, University, Country, E-mail:</w:t>
      </w:r>
    </w:p>
  </w:footnote>
  <w:footnote w:id="3">
    <w:p w14:paraId="70D8EE0E" w14:textId="6A953C39" w:rsidR="00FD6B97" w:rsidRPr="00FD6B97" w:rsidRDefault="00FD6B97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  <w:lang w:val="en-GB"/>
        </w:rPr>
      </w:pPr>
      <w:r w:rsidRPr="00FD6B97">
        <w:rPr>
          <w:rStyle w:val="Sprotnaopomba-sklic"/>
          <w:rFonts w:ascii="Times New Roman" w:hAnsi="Times New Roman" w:cs="Times New Roman"/>
          <w:lang w:val="en-GB"/>
        </w:rPr>
        <w:footnoteRef/>
      </w:r>
      <w:r w:rsidRPr="00FD6B97">
        <w:rPr>
          <w:rFonts w:ascii="Times New Roman" w:hAnsi="Times New Roman" w:cs="Times New Roman"/>
          <w:lang w:val="en-GB"/>
        </w:rPr>
        <w:t xml:space="preserve"> Name and surname, </w:t>
      </w:r>
      <w:r>
        <w:rPr>
          <w:rFonts w:ascii="Times New Roman" w:hAnsi="Times New Roman" w:cs="Times New Roman"/>
          <w:lang w:val="en-GB"/>
        </w:rPr>
        <w:t>P</w:t>
      </w:r>
      <w:r w:rsidRPr="00FD6B97">
        <w:rPr>
          <w:rFonts w:ascii="Times New Roman" w:hAnsi="Times New Roman" w:cs="Times New Roman"/>
          <w:lang w:val="en-GB"/>
        </w:rPr>
        <w:t>ositio</w:t>
      </w:r>
      <w:r>
        <w:rPr>
          <w:rFonts w:ascii="Times New Roman" w:hAnsi="Times New Roman" w:cs="Times New Roman"/>
          <w:lang w:val="en-GB"/>
        </w:rPr>
        <w:t>n, Department, I</w:t>
      </w:r>
      <w:r w:rsidRPr="00FD6B97">
        <w:rPr>
          <w:rFonts w:ascii="Times New Roman" w:hAnsi="Times New Roman" w:cs="Times New Roman"/>
          <w:lang w:val="en-GB"/>
        </w:rPr>
        <w:t xml:space="preserve">nstitution, </w:t>
      </w:r>
      <w:r>
        <w:rPr>
          <w:rFonts w:ascii="Times New Roman" w:hAnsi="Times New Roman" w:cs="Times New Roman"/>
          <w:lang w:val="en-GB"/>
        </w:rPr>
        <w:t>C</w:t>
      </w:r>
      <w:r w:rsidRPr="00FD6B97">
        <w:rPr>
          <w:rFonts w:ascii="Times New Roman" w:hAnsi="Times New Roman" w:cs="Times New Roman"/>
          <w:lang w:val="en-GB"/>
        </w:rPr>
        <w:t>ountry. E-mail:</w:t>
      </w:r>
    </w:p>
  </w:footnote>
  <w:footnote w:id="4">
    <w:p w14:paraId="4D318A58" w14:textId="2DB91345" w:rsidR="00FD6B97" w:rsidRPr="00FD6B97" w:rsidRDefault="00FD6B97" w:rsidP="00DE4C9B">
      <w:pPr>
        <w:pStyle w:val="Sprotnaopomba-besedilo"/>
        <w:keepNext/>
        <w:keepLines/>
        <w:pageBreakBefore/>
        <w:suppressLineNumbers/>
        <w:suppressAutoHyphens/>
        <w:contextualSpacing/>
        <w:jc w:val="both"/>
        <w:rPr>
          <w:rFonts w:ascii="Times New Roman" w:hAnsi="Times New Roman" w:cs="Times New Roman"/>
          <w:lang w:val="en-GB"/>
        </w:rPr>
      </w:pPr>
      <w:r w:rsidRPr="00FD6B97">
        <w:rPr>
          <w:rStyle w:val="Sprotnaopomba-sklic"/>
          <w:rFonts w:ascii="Times New Roman" w:hAnsi="Times New Roman" w:cs="Times New Roman"/>
          <w:lang w:val="en-GB"/>
        </w:rPr>
        <w:footnoteRef/>
      </w:r>
      <w:r w:rsidRPr="00FD6B97">
        <w:rPr>
          <w:rFonts w:ascii="Times New Roman" w:hAnsi="Times New Roman" w:cs="Times New Roman"/>
          <w:lang w:val="en-GB"/>
        </w:rPr>
        <w:t xml:space="preserve"> Text, text, text, text, text, text, text, text, text, text (</w:t>
      </w:r>
      <w:r w:rsidR="003567BA">
        <w:rPr>
          <w:rFonts w:ascii="Times New Roman" w:hAnsi="Times New Roman" w:cs="Times New Roman"/>
          <w:lang w:val="en-GB"/>
        </w:rPr>
        <w:t>Dvojmoč, 2019</w:t>
      </w:r>
      <w:r w:rsidRPr="00FD6B97">
        <w:rPr>
          <w:rFonts w:ascii="Times New Roman" w:hAnsi="Times New Roman" w:cs="Times New Roman"/>
          <w:lang w:val="en-GB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EF2"/>
    <w:multiLevelType w:val="hybridMultilevel"/>
    <w:tmpl w:val="C0AC01C2"/>
    <w:lvl w:ilvl="0" w:tplc="BB228D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862A2"/>
    <w:multiLevelType w:val="multilevel"/>
    <w:tmpl w:val="4176D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6114B1"/>
    <w:multiLevelType w:val="multilevel"/>
    <w:tmpl w:val="186099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LMwNzAwtjA2tzBU0lEKTi0uzszPAykwqwUAG0EUUiwAAAA="/>
  </w:docVars>
  <w:rsids>
    <w:rsidRoot w:val="006E22B1"/>
    <w:rsid w:val="000562A3"/>
    <w:rsid w:val="00077D17"/>
    <w:rsid w:val="0008187F"/>
    <w:rsid w:val="00097D84"/>
    <w:rsid w:val="00215818"/>
    <w:rsid w:val="003567BA"/>
    <w:rsid w:val="0045376E"/>
    <w:rsid w:val="004900C6"/>
    <w:rsid w:val="0059075C"/>
    <w:rsid w:val="005B6E2D"/>
    <w:rsid w:val="005D3BFB"/>
    <w:rsid w:val="005D5742"/>
    <w:rsid w:val="006E22B1"/>
    <w:rsid w:val="007F6821"/>
    <w:rsid w:val="00811766"/>
    <w:rsid w:val="00813046"/>
    <w:rsid w:val="008818AB"/>
    <w:rsid w:val="008E5631"/>
    <w:rsid w:val="009000F5"/>
    <w:rsid w:val="00993EC1"/>
    <w:rsid w:val="009A55D9"/>
    <w:rsid w:val="00BA4630"/>
    <w:rsid w:val="00BB4D1D"/>
    <w:rsid w:val="00BE56C4"/>
    <w:rsid w:val="00D44D04"/>
    <w:rsid w:val="00D531D8"/>
    <w:rsid w:val="00DE4C9B"/>
    <w:rsid w:val="00E14BEB"/>
    <w:rsid w:val="00E97EAB"/>
    <w:rsid w:val="00F32210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A48C"/>
  <w15:chartTrackingRefBased/>
  <w15:docId w15:val="{4640A0BA-90DF-4852-AA41-475CE58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7EA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7EA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97EA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9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7EAB"/>
  </w:style>
  <w:style w:type="paragraph" w:styleId="Noga">
    <w:name w:val="footer"/>
    <w:basedOn w:val="Navaden"/>
    <w:link w:val="NogaZnak"/>
    <w:uiPriority w:val="99"/>
    <w:unhideWhenUsed/>
    <w:rsid w:val="00E9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7EAB"/>
  </w:style>
  <w:style w:type="paragraph" w:styleId="Odstavekseznama">
    <w:name w:val="List Paragraph"/>
    <w:basedOn w:val="Navaden"/>
    <w:uiPriority w:val="34"/>
    <w:qFormat/>
    <w:rsid w:val="00F32210"/>
    <w:pPr>
      <w:ind w:left="720"/>
      <w:contextualSpacing/>
    </w:pPr>
  </w:style>
  <w:style w:type="table" w:styleId="Tabelamrea">
    <w:name w:val="Table Grid"/>
    <w:basedOn w:val="Navadnatabela"/>
    <w:uiPriority w:val="39"/>
    <w:rsid w:val="007F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90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07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075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0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075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075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D3BF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D3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kh\Desktop\RKK%20(2020)%20-%20Zaporni&#353;ka%20populacija%20v%20Sloveniji\Statisti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4"/>
          <c:tx>
            <c:strRef>
              <c:f>List1!$A$19</c:f>
              <c:strCache>
                <c:ptCount val="1"/>
                <c:pt idx="0">
                  <c:v>Sprejeti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List1!$B$14:$Y$14</c:f>
              <c:numCache>
                <c:formatCode>General</c:formatCode>
                <c:ptCount val="24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</c:numCache>
            </c:numRef>
          </c:cat>
          <c:val>
            <c:numRef>
              <c:f>List1!$B$19:$Y$19</c:f>
              <c:numCache>
                <c:formatCode>General</c:formatCode>
                <c:ptCount val="24"/>
                <c:pt idx="0">
                  <c:v>3443</c:v>
                </c:pt>
                <c:pt idx="1">
                  <c:v>3132</c:v>
                </c:pt>
                <c:pt idx="2">
                  <c:v>3189</c:v>
                </c:pt>
                <c:pt idx="3">
                  <c:v>4357</c:v>
                </c:pt>
                <c:pt idx="4">
                  <c:v>5459</c:v>
                </c:pt>
                <c:pt idx="5">
                  <c:v>5729</c:v>
                </c:pt>
                <c:pt idx="6">
                  <c:v>5155</c:v>
                </c:pt>
                <c:pt idx="7">
                  <c:v>4135</c:v>
                </c:pt>
                <c:pt idx="8">
                  <c:v>3626</c:v>
                </c:pt>
                <c:pt idx="9">
                  <c:v>3418</c:v>
                </c:pt>
                <c:pt idx="10">
                  <c:v>2206</c:v>
                </c:pt>
                <c:pt idx="11">
                  <c:v>2596</c:v>
                </c:pt>
                <c:pt idx="12">
                  <c:v>3284</c:v>
                </c:pt>
                <c:pt idx="13">
                  <c:v>3251</c:v>
                </c:pt>
                <c:pt idx="14">
                  <c:v>3578</c:v>
                </c:pt>
                <c:pt idx="15">
                  <c:v>3426</c:v>
                </c:pt>
                <c:pt idx="16">
                  <c:v>3825</c:v>
                </c:pt>
                <c:pt idx="17">
                  <c:v>3888</c:v>
                </c:pt>
                <c:pt idx="18">
                  <c:v>3268</c:v>
                </c:pt>
                <c:pt idx="19">
                  <c:v>3434</c:v>
                </c:pt>
                <c:pt idx="20">
                  <c:v>2594</c:v>
                </c:pt>
                <c:pt idx="21">
                  <c:v>2337</c:v>
                </c:pt>
                <c:pt idx="22">
                  <c:v>2243</c:v>
                </c:pt>
                <c:pt idx="23">
                  <c:v>2404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82-428D-A913-44FB5ACB7723}"/>
            </c:ext>
          </c:extLst>
        </c:ser>
        <c:ser>
          <c:idx val="9"/>
          <c:order val="9"/>
          <c:tx>
            <c:strRef>
              <c:f>List1!$A$24</c:f>
              <c:strCache>
                <c:ptCount val="1"/>
                <c:pt idx="0">
                  <c:v>Odpuščeni</c:v>
                </c:pt>
              </c:strCache>
            </c:strRef>
          </c:tx>
          <c:spPr>
            <a:ln w="6350" cap="rnd">
              <a:solidFill>
                <a:schemeClr val="tx1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List1!$B$14:$Y$14</c:f>
              <c:numCache>
                <c:formatCode>General</c:formatCode>
                <c:ptCount val="24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</c:numCache>
            </c:numRef>
          </c:cat>
          <c:val>
            <c:numRef>
              <c:f>List1!$B$24:$Y$24</c:f>
              <c:numCache>
                <c:formatCode>General</c:formatCode>
                <c:ptCount val="24"/>
                <c:pt idx="0">
                  <c:v>3321</c:v>
                </c:pt>
                <c:pt idx="1">
                  <c:v>3033</c:v>
                </c:pt>
                <c:pt idx="2">
                  <c:v>3112</c:v>
                </c:pt>
                <c:pt idx="3">
                  <c:v>4234</c:v>
                </c:pt>
                <c:pt idx="4">
                  <c:v>5372</c:v>
                </c:pt>
                <c:pt idx="5">
                  <c:v>5406</c:v>
                </c:pt>
                <c:pt idx="6">
                  <c:v>4810</c:v>
                </c:pt>
                <c:pt idx="7">
                  <c:v>3675</c:v>
                </c:pt>
                <c:pt idx="8">
                  <c:v>3298</c:v>
                </c:pt>
                <c:pt idx="9">
                  <c:v>3012</c:v>
                </c:pt>
                <c:pt idx="10">
                  <c:v>1719</c:v>
                </c:pt>
                <c:pt idx="11">
                  <c:v>2375</c:v>
                </c:pt>
                <c:pt idx="12">
                  <c:v>2732</c:v>
                </c:pt>
                <c:pt idx="13">
                  <c:v>3170</c:v>
                </c:pt>
                <c:pt idx="14">
                  <c:v>3614</c:v>
                </c:pt>
                <c:pt idx="15">
                  <c:v>3446</c:v>
                </c:pt>
                <c:pt idx="16">
                  <c:v>3717</c:v>
                </c:pt>
                <c:pt idx="17">
                  <c:v>3846</c:v>
                </c:pt>
                <c:pt idx="18">
                  <c:v>3220</c:v>
                </c:pt>
                <c:pt idx="19">
                  <c:v>3366</c:v>
                </c:pt>
                <c:pt idx="20">
                  <c:v>2689</c:v>
                </c:pt>
                <c:pt idx="21">
                  <c:v>2415</c:v>
                </c:pt>
                <c:pt idx="22">
                  <c:v>2269</c:v>
                </c:pt>
                <c:pt idx="23">
                  <c:v>2357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82-428D-A913-44FB5ACB7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52538815"/>
        <c:axId val="1852536735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List1!$A$15</c15:sqref>
                        </c15:formulaRef>
                      </c:ext>
                    </c:extLst>
                    <c:strCache>
                      <c:ptCount val="1"/>
                      <c:pt idx="0">
                        <c:v>Obsojenci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List1!$B$15:$Y$15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539</c:v>
                      </c:pt>
                      <c:pt idx="1">
                        <c:v>507</c:v>
                      </c:pt>
                      <c:pt idx="2">
                        <c:v>577</c:v>
                      </c:pt>
                      <c:pt idx="3">
                        <c:v>688</c:v>
                      </c:pt>
                      <c:pt idx="4">
                        <c:v>852</c:v>
                      </c:pt>
                      <c:pt idx="5">
                        <c:v>973</c:v>
                      </c:pt>
                      <c:pt idx="6">
                        <c:v>1018</c:v>
                      </c:pt>
                      <c:pt idx="7">
                        <c:v>988</c:v>
                      </c:pt>
                      <c:pt idx="8">
                        <c:v>968</c:v>
                      </c:pt>
                      <c:pt idx="9">
                        <c:v>892</c:v>
                      </c:pt>
                      <c:pt idx="10">
                        <c:v>975</c:v>
                      </c:pt>
                      <c:pt idx="11">
                        <c:v>1052</c:v>
                      </c:pt>
                      <c:pt idx="12">
                        <c:v>1006</c:v>
                      </c:pt>
                      <c:pt idx="13">
                        <c:v>1051</c:v>
                      </c:pt>
                      <c:pt idx="14">
                        <c:v>957</c:v>
                      </c:pt>
                      <c:pt idx="15">
                        <c:v>1031</c:v>
                      </c:pt>
                      <c:pt idx="16">
                        <c:v>992</c:v>
                      </c:pt>
                      <c:pt idx="17">
                        <c:v>1158</c:v>
                      </c:pt>
                      <c:pt idx="18">
                        <c:v>1168</c:v>
                      </c:pt>
                      <c:pt idx="19">
                        <c:v>1777</c:v>
                      </c:pt>
                      <c:pt idx="20">
                        <c:v>1713</c:v>
                      </c:pt>
                      <c:pt idx="21">
                        <c:v>1478</c:v>
                      </c:pt>
                      <c:pt idx="22">
                        <c:v>1312</c:v>
                      </c:pt>
                      <c:pt idx="23">
                        <c:v>1363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7A82-428D-A913-44FB5ACB7723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List1!$A$16</c15:sqref>
                        </c15:formulaRef>
                      </c:ext>
                    </c:extLst>
                    <c:strCache>
                      <c:ptCount val="1"/>
                      <c:pt idx="0">
                        <c:v>Mladoletni obsojenci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List1!$B$16:$Y$16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12</c:v>
                      </c:pt>
                      <c:pt idx="1">
                        <c:v>17</c:v>
                      </c:pt>
                      <c:pt idx="2">
                        <c:v>17</c:v>
                      </c:pt>
                      <c:pt idx="3">
                        <c:v>20</c:v>
                      </c:pt>
                      <c:pt idx="4">
                        <c:v>15</c:v>
                      </c:pt>
                      <c:pt idx="5">
                        <c:v>17</c:v>
                      </c:pt>
                      <c:pt idx="6">
                        <c:v>19</c:v>
                      </c:pt>
                      <c:pt idx="7">
                        <c:v>23</c:v>
                      </c:pt>
                      <c:pt idx="8">
                        <c:v>18</c:v>
                      </c:pt>
                      <c:pt idx="9">
                        <c:v>24</c:v>
                      </c:pt>
                      <c:pt idx="10">
                        <c:v>17</c:v>
                      </c:pt>
                      <c:pt idx="11">
                        <c:v>16</c:v>
                      </c:pt>
                      <c:pt idx="12">
                        <c:v>12</c:v>
                      </c:pt>
                      <c:pt idx="13">
                        <c:v>19</c:v>
                      </c:pt>
                      <c:pt idx="14">
                        <c:v>22</c:v>
                      </c:pt>
                      <c:pt idx="15">
                        <c:v>14</c:v>
                      </c:pt>
                      <c:pt idx="16">
                        <c:v>21</c:v>
                      </c:pt>
                      <c:pt idx="17">
                        <c:v>13</c:v>
                      </c:pt>
                      <c:pt idx="18">
                        <c:v>17</c:v>
                      </c:pt>
                      <c:pt idx="19">
                        <c:v>16</c:v>
                      </c:pt>
                      <c:pt idx="20">
                        <c:v>17</c:v>
                      </c:pt>
                      <c:pt idx="21">
                        <c:v>25</c:v>
                      </c:pt>
                      <c:pt idx="22">
                        <c:v>13</c:v>
                      </c:pt>
                      <c:pt idx="23">
                        <c:v>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A82-428D-A913-44FB5ACB7723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List1!$A$17</c15:sqref>
                        </c15:formulaRef>
                      </c:ext>
                    </c:extLst>
                    <c:strCache>
                      <c:ptCount val="1"/>
                      <c:pt idx="0">
                        <c:v>Uklonilno zaprti/nadomestni zapor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List1!$B$17:$Y$17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1823</c:v>
                      </c:pt>
                      <c:pt idx="1">
                        <c:v>1822</c:v>
                      </c:pt>
                      <c:pt idx="2">
                        <c:v>1785</c:v>
                      </c:pt>
                      <c:pt idx="3">
                        <c:v>2706</c:v>
                      </c:pt>
                      <c:pt idx="4">
                        <c:v>3704</c:v>
                      </c:pt>
                      <c:pt idx="5">
                        <c:v>3705</c:v>
                      </c:pt>
                      <c:pt idx="6">
                        <c:v>3128</c:v>
                      </c:pt>
                      <c:pt idx="7">
                        <c:v>2105</c:v>
                      </c:pt>
                      <c:pt idx="8">
                        <c:v>1679</c:v>
                      </c:pt>
                      <c:pt idx="9">
                        <c:v>1505</c:v>
                      </c:pt>
                      <c:pt idx="10">
                        <c:v>160</c:v>
                      </c:pt>
                      <c:pt idx="11">
                        <c:v>391</c:v>
                      </c:pt>
                      <c:pt idx="12">
                        <c:v>1114</c:v>
                      </c:pt>
                      <c:pt idx="13">
                        <c:v>1070</c:v>
                      </c:pt>
                      <c:pt idx="14">
                        <c:v>1364</c:v>
                      </c:pt>
                      <c:pt idx="15">
                        <c:v>1285</c:v>
                      </c:pt>
                      <c:pt idx="16">
                        <c:v>1804</c:v>
                      </c:pt>
                      <c:pt idx="17">
                        <c:v>1620</c:v>
                      </c:pt>
                      <c:pt idx="18">
                        <c:v>1101</c:v>
                      </c:pt>
                      <c:pt idx="19">
                        <c:v>1016</c:v>
                      </c:pt>
                      <c:pt idx="20">
                        <c:v>0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A82-428D-A913-44FB5ACB7723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List1!$A$18</c15:sqref>
                        </c15:formulaRef>
                      </c:ext>
                    </c:extLst>
                    <c:strCache>
                      <c:ptCount val="1"/>
                      <c:pt idx="0">
                        <c:v>Priporniki (sprejeti)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List1!$B$18:$Y$18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1069</c:v>
                      </c:pt>
                      <c:pt idx="1">
                        <c:v>786</c:v>
                      </c:pt>
                      <c:pt idx="2">
                        <c:v>810</c:v>
                      </c:pt>
                      <c:pt idx="3">
                        <c:v>943</c:v>
                      </c:pt>
                      <c:pt idx="4">
                        <c:v>888</c:v>
                      </c:pt>
                      <c:pt idx="5">
                        <c:v>1034</c:v>
                      </c:pt>
                      <c:pt idx="6">
                        <c:v>990</c:v>
                      </c:pt>
                      <c:pt idx="7">
                        <c:v>1019</c:v>
                      </c:pt>
                      <c:pt idx="8">
                        <c:v>961</c:v>
                      </c:pt>
                      <c:pt idx="9">
                        <c:v>997</c:v>
                      </c:pt>
                      <c:pt idx="10">
                        <c:v>1054</c:v>
                      </c:pt>
                      <c:pt idx="11">
                        <c:v>1137</c:v>
                      </c:pt>
                      <c:pt idx="12">
                        <c:v>1152</c:v>
                      </c:pt>
                      <c:pt idx="13">
                        <c:v>1111</c:v>
                      </c:pt>
                      <c:pt idx="14">
                        <c:v>1235</c:v>
                      </c:pt>
                      <c:pt idx="15">
                        <c:v>1096</c:v>
                      </c:pt>
                      <c:pt idx="16">
                        <c:v>1008</c:v>
                      </c:pt>
                      <c:pt idx="17">
                        <c:v>1097</c:v>
                      </c:pt>
                      <c:pt idx="18">
                        <c:v>982</c:v>
                      </c:pt>
                      <c:pt idx="19">
                        <c:v>625</c:v>
                      </c:pt>
                      <c:pt idx="20">
                        <c:v>864</c:v>
                      </c:pt>
                      <c:pt idx="21">
                        <c:v>834</c:v>
                      </c:pt>
                      <c:pt idx="22">
                        <c:v>918</c:v>
                      </c:pt>
                      <c:pt idx="23">
                        <c:v>1027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A82-428D-A913-44FB5ACB7723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List1!$A$20</c15:sqref>
                        </c15:formulaRef>
                      </c:ext>
                    </c:extLst>
                    <c:strCache>
                      <c:ptCount val="1"/>
                      <c:pt idx="0">
                        <c:v>Obsojenci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List1!$B$20:$Y$20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649</c:v>
                      </c:pt>
                      <c:pt idx="1">
                        <c:v>481</c:v>
                      </c:pt>
                      <c:pt idx="2">
                        <c:v>534</c:v>
                      </c:pt>
                      <c:pt idx="3">
                        <c:v>606</c:v>
                      </c:pt>
                      <c:pt idx="4">
                        <c:v>774</c:v>
                      </c:pt>
                      <c:pt idx="5">
                        <c:v>861</c:v>
                      </c:pt>
                      <c:pt idx="6">
                        <c:v>1007</c:v>
                      </c:pt>
                      <c:pt idx="7">
                        <c:v>889</c:v>
                      </c:pt>
                      <c:pt idx="8">
                        <c:v>941</c:v>
                      </c:pt>
                      <c:pt idx="9">
                        <c:v>905</c:v>
                      </c:pt>
                      <c:pt idx="10">
                        <c:v>897</c:v>
                      </c:pt>
                      <c:pt idx="11">
                        <c:v>983</c:v>
                      </c:pt>
                      <c:pt idx="12">
                        <c:v>922</c:v>
                      </c:pt>
                      <c:pt idx="13">
                        <c:v>985</c:v>
                      </c:pt>
                      <c:pt idx="14">
                        <c:v>1026</c:v>
                      </c:pt>
                      <c:pt idx="15">
                        <c:v>1035</c:v>
                      </c:pt>
                      <c:pt idx="16">
                        <c:v>943</c:v>
                      </c:pt>
                      <c:pt idx="17">
                        <c:v>1049</c:v>
                      </c:pt>
                      <c:pt idx="18">
                        <c:v>1102</c:v>
                      </c:pt>
                      <c:pt idx="19">
                        <c:v>1685</c:v>
                      </c:pt>
                      <c:pt idx="20">
                        <c:v>1758</c:v>
                      </c:pt>
                      <c:pt idx="21">
                        <c:v>1576</c:v>
                      </c:pt>
                      <c:pt idx="22">
                        <c:v>1418</c:v>
                      </c:pt>
                      <c:pt idx="23">
                        <c:v>1345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7A82-428D-A913-44FB5ACB7723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List1!$A$21</c15:sqref>
                        </c15:formulaRef>
                      </c:ext>
                    </c:extLst>
                    <c:strCache>
                      <c:ptCount val="1"/>
                      <c:pt idx="0">
                        <c:v>Mladoletni obsojenci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List1!$B$21:$Y$21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40</c:v>
                      </c:pt>
                      <c:pt idx="1">
                        <c:v>13</c:v>
                      </c:pt>
                      <c:pt idx="2">
                        <c:v>17</c:v>
                      </c:pt>
                      <c:pt idx="3">
                        <c:v>19</c:v>
                      </c:pt>
                      <c:pt idx="4">
                        <c:v>21</c:v>
                      </c:pt>
                      <c:pt idx="5">
                        <c:v>13</c:v>
                      </c:pt>
                      <c:pt idx="6">
                        <c:v>20</c:v>
                      </c:pt>
                      <c:pt idx="7">
                        <c:v>21</c:v>
                      </c:pt>
                      <c:pt idx="8">
                        <c:v>20</c:v>
                      </c:pt>
                      <c:pt idx="9">
                        <c:v>17</c:v>
                      </c:pt>
                      <c:pt idx="10">
                        <c:v>15</c:v>
                      </c:pt>
                      <c:pt idx="11">
                        <c:v>23</c:v>
                      </c:pt>
                      <c:pt idx="12">
                        <c:v>16</c:v>
                      </c:pt>
                      <c:pt idx="13">
                        <c:v>17</c:v>
                      </c:pt>
                      <c:pt idx="14">
                        <c:v>20</c:v>
                      </c:pt>
                      <c:pt idx="15">
                        <c:v>12</c:v>
                      </c:pt>
                      <c:pt idx="16">
                        <c:v>19</c:v>
                      </c:pt>
                      <c:pt idx="17">
                        <c:v>23</c:v>
                      </c:pt>
                      <c:pt idx="18">
                        <c:v>12</c:v>
                      </c:pt>
                      <c:pt idx="19">
                        <c:v>20</c:v>
                      </c:pt>
                      <c:pt idx="20">
                        <c:v>15</c:v>
                      </c:pt>
                      <c:pt idx="21">
                        <c:v>24</c:v>
                      </c:pt>
                      <c:pt idx="22">
                        <c:v>13</c:v>
                      </c:pt>
                      <c:pt idx="23">
                        <c:v>10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7A82-428D-A913-44FB5ACB7723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List1!$A$22</c15:sqref>
                        </c15:formulaRef>
                      </c:ext>
                    </c:extLst>
                    <c:strCache>
                      <c:ptCount val="1"/>
                      <c:pt idx="0">
                        <c:v>Uklonilno zaprti/nadomestni zapor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List1!$B$22:$Y$22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1751</c:v>
                      </c:pt>
                      <c:pt idx="1">
                        <c:v>1790</c:v>
                      </c:pt>
                      <c:pt idx="2">
                        <c:v>1789</c:v>
                      </c:pt>
                      <c:pt idx="3">
                        <c:v>2695</c:v>
                      </c:pt>
                      <c:pt idx="4">
                        <c:v>3699</c:v>
                      </c:pt>
                      <c:pt idx="5">
                        <c:v>3567</c:v>
                      </c:pt>
                      <c:pt idx="6">
                        <c:v>3077</c:v>
                      </c:pt>
                      <c:pt idx="7">
                        <c:v>2130</c:v>
                      </c:pt>
                      <c:pt idx="8">
                        <c:v>1667</c:v>
                      </c:pt>
                      <c:pt idx="9">
                        <c:v>1506</c:v>
                      </c:pt>
                      <c:pt idx="10">
                        <c:v>186</c:v>
                      </c:pt>
                      <c:pt idx="11">
                        <c:v>349</c:v>
                      </c:pt>
                      <c:pt idx="12">
                        <c:v>1100</c:v>
                      </c:pt>
                      <c:pt idx="13">
                        <c:v>1079</c:v>
                      </c:pt>
                      <c:pt idx="14">
                        <c:v>1371</c:v>
                      </c:pt>
                      <c:pt idx="15">
                        <c:v>1280</c:v>
                      </c:pt>
                      <c:pt idx="16">
                        <c:v>1770</c:v>
                      </c:pt>
                      <c:pt idx="17">
                        <c:v>1642</c:v>
                      </c:pt>
                      <c:pt idx="18">
                        <c:v>1111</c:v>
                      </c:pt>
                      <c:pt idx="19">
                        <c:v>637</c:v>
                      </c:pt>
                      <c:pt idx="20">
                        <c:v>0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7A82-428D-A913-44FB5ACB7723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List1!$A$23</c15:sqref>
                        </c15:formulaRef>
                      </c:ext>
                    </c:extLst>
                    <c:strCache>
                      <c:ptCount val="1"/>
                      <c:pt idx="0">
                        <c:v>Priporniki (odpuščeni)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List1!$B$14:$Y$14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1995</c:v>
                      </c:pt>
                      <c:pt idx="1">
                        <c:v>1996</c:v>
                      </c:pt>
                      <c:pt idx="2">
                        <c:v>1997</c:v>
                      </c:pt>
                      <c:pt idx="3">
                        <c:v>1998</c:v>
                      </c:pt>
                      <c:pt idx="4">
                        <c:v>1999</c:v>
                      </c:pt>
                      <c:pt idx="5">
                        <c:v>2000</c:v>
                      </c:pt>
                      <c:pt idx="6">
                        <c:v>2001</c:v>
                      </c:pt>
                      <c:pt idx="7">
                        <c:v>2002</c:v>
                      </c:pt>
                      <c:pt idx="8">
                        <c:v>2003</c:v>
                      </c:pt>
                      <c:pt idx="9">
                        <c:v>2004</c:v>
                      </c:pt>
                      <c:pt idx="10">
                        <c:v>2005</c:v>
                      </c:pt>
                      <c:pt idx="11">
                        <c:v>2006</c:v>
                      </c:pt>
                      <c:pt idx="12">
                        <c:v>2007</c:v>
                      </c:pt>
                      <c:pt idx="13">
                        <c:v>2008</c:v>
                      </c:pt>
                      <c:pt idx="14">
                        <c:v>2009</c:v>
                      </c:pt>
                      <c:pt idx="15">
                        <c:v>2010</c:v>
                      </c:pt>
                      <c:pt idx="16">
                        <c:v>2011</c:v>
                      </c:pt>
                      <c:pt idx="17">
                        <c:v>2012</c:v>
                      </c:pt>
                      <c:pt idx="18">
                        <c:v>2013</c:v>
                      </c:pt>
                      <c:pt idx="19">
                        <c:v>2014</c:v>
                      </c:pt>
                      <c:pt idx="20">
                        <c:v>2015</c:v>
                      </c:pt>
                      <c:pt idx="21">
                        <c:v>2016</c:v>
                      </c:pt>
                      <c:pt idx="22">
                        <c:v>2017</c:v>
                      </c:pt>
                      <c:pt idx="23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List1!$B$23:$Y$23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881</c:v>
                      </c:pt>
                      <c:pt idx="1">
                        <c:v>749</c:v>
                      </c:pt>
                      <c:pt idx="2">
                        <c:v>772</c:v>
                      </c:pt>
                      <c:pt idx="3">
                        <c:v>914</c:v>
                      </c:pt>
                      <c:pt idx="4">
                        <c:v>878</c:v>
                      </c:pt>
                      <c:pt idx="5">
                        <c:v>965</c:v>
                      </c:pt>
                      <c:pt idx="6">
                        <c:v>706</c:v>
                      </c:pt>
                      <c:pt idx="7">
                        <c:v>635</c:v>
                      </c:pt>
                      <c:pt idx="8">
                        <c:v>670</c:v>
                      </c:pt>
                      <c:pt idx="9">
                        <c:v>584</c:v>
                      </c:pt>
                      <c:pt idx="10">
                        <c:v>621</c:v>
                      </c:pt>
                      <c:pt idx="11">
                        <c:v>1020</c:v>
                      </c:pt>
                      <c:pt idx="12">
                        <c:v>694</c:v>
                      </c:pt>
                      <c:pt idx="13">
                        <c:v>1089</c:v>
                      </c:pt>
                      <c:pt idx="14">
                        <c:v>1197</c:v>
                      </c:pt>
                      <c:pt idx="15">
                        <c:v>1119</c:v>
                      </c:pt>
                      <c:pt idx="16">
                        <c:v>985</c:v>
                      </c:pt>
                      <c:pt idx="17">
                        <c:v>1132</c:v>
                      </c:pt>
                      <c:pt idx="18">
                        <c:v>995</c:v>
                      </c:pt>
                      <c:pt idx="19">
                        <c:v>1024</c:v>
                      </c:pt>
                      <c:pt idx="20">
                        <c:v>916</c:v>
                      </c:pt>
                      <c:pt idx="21">
                        <c:v>815</c:v>
                      </c:pt>
                      <c:pt idx="22">
                        <c:v>838</c:v>
                      </c:pt>
                      <c:pt idx="23">
                        <c:v>1000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7A82-428D-A913-44FB5ACB7723}"/>
                  </c:ext>
                </c:extLst>
              </c15:ser>
            </c15:filteredLineSeries>
          </c:ext>
        </c:extLst>
      </c:lineChart>
      <c:catAx>
        <c:axId val="185253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l-SI"/>
          </a:p>
        </c:txPr>
        <c:crossAx val="1852536735"/>
        <c:crosses val="autoZero"/>
        <c:auto val="1"/>
        <c:lblAlgn val="ctr"/>
        <c:lblOffset val="100"/>
        <c:noMultiLvlLbl val="0"/>
      </c:catAx>
      <c:valAx>
        <c:axId val="185253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l-SI"/>
          </a:p>
        </c:txPr>
        <c:crossAx val="185253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5C600E-9D0B-420D-B037-1B63F4B3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15</cp:revision>
  <cp:lastPrinted>2023-01-04T14:53:00Z</cp:lastPrinted>
  <dcterms:created xsi:type="dcterms:W3CDTF">2022-01-18T07:32:00Z</dcterms:created>
  <dcterms:modified xsi:type="dcterms:W3CDTF">2023-01-06T16:51:00Z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1e2eb69eae397f37b176e291e8c0aa56ea645f4a45afb33208b56f439f77cb91</vt:lpwstr>
  </property>
</Properties>
</file>