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2AEC5177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5E2C39">
        <w:rPr>
          <w:rFonts w:ascii="Arial" w:hAnsi="Arial" w:cs="Arial"/>
          <w:sz w:val="20"/>
        </w:rPr>
        <w:t>30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5E2C39">
        <w:rPr>
          <w:rFonts w:ascii="Arial" w:hAnsi="Arial" w:cs="Arial"/>
          <w:sz w:val="20"/>
        </w:rPr>
        <w:t>9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371AB9">
        <w:rPr>
          <w:rFonts w:ascii="Arial" w:hAnsi="Arial" w:cs="Arial"/>
          <w:sz w:val="20"/>
        </w:rPr>
        <w:t>1</w:t>
      </w:r>
      <w:r w:rsidR="006D570E">
        <w:rPr>
          <w:rFonts w:ascii="Arial" w:hAnsi="Arial" w:cs="Arial"/>
          <w:sz w:val="20"/>
        </w:rPr>
        <w:t>9</w:t>
      </w:r>
      <w:r w:rsidR="00E058F2" w:rsidRPr="00806546">
        <w:rPr>
          <w:rFonts w:ascii="Arial" w:hAnsi="Arial" w:cs="Arial"/>
          <w:sz w:val="20"/>
        </w:rPr>
        <w:t>.</w:t>
      </w:r>
      <w:r w:rsidR="006D570E">
        <w:rPr>
          <w:rFonts w:ascii="Arial" w:hAnsi="Arial" w:cs="Arial"/>
          <w:sz w:val="20"/>
        </w:rPr>
        <w:t>471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371AB9">
        <w:rPr>
          <w:rFonts w:ascii="Arial" w:hAnsi="Arial" w:cs="Arial"/>
          <w:sz w:val="20"/>
        </w:rPr>
        <w:t>3</w:t>
      </w:r>
      <w:r w:rsidR="006D570E">
        <w:rPr>
          <w:rFonts w:ascii="Arial" w:hAnsi="Arial" w:cs="Arial"/>
          <w:sz w:val="20"/>
        </w:rPr>
        <w:t>7</w:t>
      </w:r>
      <w:r w:rsidR="001C46D3" w:rsidRPr="00806546">
        <w:rPr>
          <w:rFonts w:ascii="Arial" w:hAnsi="Arial" w:cs="Arial"/>
          <w:sz w:val="20"/>
        </w:rPr>
        <w:t>.</w:t>
      </w:r>
      <w:r w:rsidR="006D570E">
        <w:rPr>
          <w:rFonts w:ascii="Arial" w:hAnsi="Arial" w:cs="Arial"/>
          <w:sz w:val="20"/>
        </w:rPr>
        <w:t>220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6D570E">
        <w:rPr>
          <w:rFonts w:ascii="Arial" w:hAnsi="Arial" w:cs="Arial"/>
          <w:sz w:val="20"/>
        </w:rPr>
        <w:t>Bangladeša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6D570E">
        <w:rPr>
          <w:rFonts w:ascii="Arial" w:hAnsi="Arial" w:cs="Arial"/>
          <w:sz w:val="20"/>
        </w:rPr>
        <w:t>Egipta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3616B5" w14:paraId="3D495FB5" w14:textId="77777777" w:rsidTr="003616B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bookmarkEnd w:id="15"/>
          <w:p w14:paraId="06053528" w14:textId="77777777" w:rsidR="003616B5" w:rsidRDefault="003616B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10D4F4E2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54C3422A" w14:textId="77777777" w:rsidR="003616B5" w:rsidRDefault="003616B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1CE2AB5" w14:textId="77777777" w:rsidR="003616B5" w:rsidRDefault="003616B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3616B5" w14:paraId="4BC5B9A1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2E9898E" w14:textId="77777777" w:rsidR="003616B5" w:rsidRDefault="003616B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144EEE85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3321274E" w14:textId="77777777" w:rsidR="003616B5" w:rsidRDefault="003616B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37.220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19ED9DA6" w14:textId="77777777" w:rsidR="003616B5" w:rsidRDefault="003616B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19.471</w:t>
            </w:r>
          </w:p>
        </w:tc>
      </w:tr>
      <w:tr w:rsidR="003616B5" w14:paraId="38BB4CCB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7B6F2489" w14:textId="77777777" w:rsidR="003616B5" w:rsidRDefault="003616B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71D98DCF" w14:textId="77777777" w:rsidR="003616B5" w:rsidRDefault="003616B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22229B9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33A76ADC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119</w:t>
            </w:r>
          </w:p>
        </w:tc>
      </w:tr>
      <w:tr w:rsidR="003616B5" w14:paraId="18B2461B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7DDD8B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D025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138D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E8A9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3616B5" w14:paraId="50302966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A3841D1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B7C2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563C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FD96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3616B5" w14:paraId="1193A396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B119F3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6EB2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8053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CBF0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3616B5" w14:paraId="7CC1A610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7F76C75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C2D6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48A8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48B8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3616B5" w14:paraId="27002176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0CB13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740E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49CD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1C1C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3616B5" w14:paraId="567F58F1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1063B0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3D24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5EA1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0415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616B5" w14:paraId="4E93E01C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84020B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60CC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553D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EAE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616B5" w14:paraId="3ED8E78C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09687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66D6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215F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F647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616B5" w14:paraId="2F09D01B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237B2F6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5DAF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E602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8FA0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616B5" w14:paraId="0B246E43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8173A0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9678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4F2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C25F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3616B5" w14:paraId="51A2C5E5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FA6B937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214A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D119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9548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</w:tr>
      <w:tr w:rsidR="003616B5" w14:paraId="711B25D8" w14:textId="77777777" w:rsidTr="003616B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6C8EBAC1" w14:textId="77777777" w:rsidR="003616B5" w:rsidRDefault="003616B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A9F72C7" w14:textId="77777777" w:rsidR="003616B5" w:rsidRDefault="003616B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2030F18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36.310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A66B42F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16.882</w:t>
            </w:r>
          </w:p>
        </w:tc>
      </w:tr>
      <w:tr w:rsidR="003616B5" w14:paraId="41DC9DD4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987C734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F9EC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9904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5.719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16D4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2.285</w:t>
            </w:r>
          </w:p>
        </w:tc>
      </w:tr>
      <w:tr w:rsidR="003616B5" w14:paraId="3ED56589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9FAD8D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C467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7684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6A4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2.255</w:t>
            </w:r>
          </w:p>
        </w:tc>
      </w:tr>
      <w:tr w:rsidR="003616B5" w14:paraId="75A706BD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BA50BA5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685F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DD87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55C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2.109</w:t>
            </w:r>
          </w:p>
        </w:tc>
      </w:tr>
      <w:tr w:rsidR="003616B5" w14:paraId="2AEC12D7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3BA7121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CB31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E63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073B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1.312</w:t>
            </w:r>
          </w:p>
        </w:tc>
      </w:tr>
      <w:tr w:rsidR="003616B5" w14:paraId="6F00A28C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9B829F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D04D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D8D7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72CB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1.250</w:t>
            </w:r>
          </w:p>
        </w:tc>
      </w:tr>
      <w:tr w:rsidR="003616B5" w14:paraId="5A68F0E4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668B5A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2EAB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5640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A01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1.107</w:t>
            </w:r>
          </w:p>
        </w:tc>
      </w:tr>
      <w:tr w:rsidR="003616B5" w14:paraId="56EC9278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6EE46C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F67E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3FAE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AC16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1.104</w:t>
            </w:r>
          </w:p>
        </w:tc>
      </w:tr>
      <w:tr w:rsidR="003616B5" w14:paraId="37289F60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CBBF490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1286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9332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A9F3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657</w:t>
            </w:r>
          </w:p>
        </w:tc>
      </w:tr>
      <w:tr w:rsidR="003616B5" w14:paraId="16AE53AF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770662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B5A4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3ED3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145F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596</w:t>
            </w:r>
          </w:p>
        </w:tc>
      </w:tr>
      <w:tr w:rsidR="003616B5" w14:paraId="7EBE6FA6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8CD2BE1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1F45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6D51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6855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575</w:t>
            </w:r>
          </w:p>
        </w:tc>
      </w:tr>
      <w:tr w:rsidR="003616B5" w14:paraId="72C65718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CE2D49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EA3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A319" w14:textId="77777777" w:rsidR="003616B5" w:rsidRDefault="003616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AC2E" w14:textId="77777777" w:rsidR="003616B5" w:rsidRDefault="003616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3.632</w:t>
            </w:r>
          </w:p>
        </w:tc>
      </w:tr>
      <w:tr w:rsidR="003616B5" w14:paraId="0E33991A" w14:textId="77777777" w:rsidTr="003616B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E08339F" w14:textId="77777777" w:rsidR="003616B5" w:rsidRDefault="003616B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BB136FF" w14:textId="77777777" w:rsidR="003616B5" w:rsidRDefault="003616B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897C57B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17FC84A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1.052</w:t>
            </w:r>
          </w:p>
        </w:tc>
      </w:tr>
      <w:tr w:rsidR="003616B5" w14:paraId="74925696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85223B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1C95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5061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6151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</w:tr>
      <w:tr w:rsidR="003616B5" w14:paraId="70C26068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D10A37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DAEF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EB92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3DD8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</w:tr>
      <w:tr w:rsidR="003616B5" w14:paraId="438BF68F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BF966E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505D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D787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246B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</w:tr>
      <w:tr w:rsidR="003616B5" w14:paraId="724DC771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B7EB60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CBFD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9CD3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247E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</w:tr>
      <w:tr w:rsidR="003616B5" w14:paraId="7D5448D3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E939C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6224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AB6F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AF8B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</w:tr>
      <w:tr w:rsidR="003616B5" w14:paraId="515C1C69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7AC4F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B49C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C64C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34BE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3616B5" w14:paraId="7A3BA992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BADB9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C5FC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5E56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0AF2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3616B5" w14:paraId="0E077AC8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DE54710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28EC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C618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50D3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3616B5" w14:paraId="651C05C6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FFE131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0BCF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00F5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7B09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3616B5" w14:paraId="3E92EB8B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F16605B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84B0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10B4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AF25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3616B5" w14:paraId="2EC84191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6309D1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3F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28A" w14:textId="77777777" w:rsidR="003616B5" w:rsidRDefault="003616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F4C0" w14:textId="77777777" w:rsidR="003616B5" w:rsidRDefault="003616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</w:t>
            </w:r>
          </w:p>
        </w:tc>
      </w:tr>
      <w:tr w:rsidR="003616B5" w14:paraId="633E5D52" w14:textId="77777777" w:rsidTr="003616B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3882D05" w14:textId="77777777" w:rsidR="003616B5" w:rsidRDefault="003616B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A33EE63" w14:textId="77777777" w:rsidR="003616B5" w:rsidRDefault="003616B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54D1014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86E8704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1.418</w:t>
            </w:r>
          </w:p>
        </w:tc>
      </w:tr>
      <w:tr w:rsidR="003616B5" w14:paraId="152CF59B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8F0DD2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14DF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71D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6C92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643</w:t>
            </w:r>
          </w:p>
        </w:tc>
      </w:tr>
      <w:tr w:rsidR="003616B5" w14:paraId="1C702DC5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8D7099B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7864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828D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1630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</w:tr>
      <w:tr w:rsidR="003616B5" w14:paraId="14F485C9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6989BA3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711C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4885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C7D9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</w:tr>
      <w:tr w:rsidR="003616B5" w14:paraId="6C8C574D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BD1B1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B64D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5322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0ACE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3616B5" w14:paraId="45CB8094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FE1656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DAB3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EFB9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7F38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</w:tr>
      <w:tr w:rsidR="003616B5" w14:paraId="5254F350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B10838F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DDF7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1E7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0EAD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3616B5" w14:paraId="06E1490F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00736A1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8DE9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122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AC06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</w:tr>
      <w:tr w:rsidR="003616B5" w14:paraId="69DBAB5A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BC86FD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56C6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D2F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B3FC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3616B5" w14:paraId="55DC26F4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B498F9C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2D70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EC64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95D6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3616B5" w14:paraId="50796FE7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9CF5446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0861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29F5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891A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3616B5" w14:paraId="20F7F209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5DC6D95E" w14:textId="77777777" w:rsidR="003616B5" w:rsidRDefault="003616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CCEE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A1E0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D8EE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</w:tr>
      <w:tr w:rsidR="003616B5" w14:paraId="4AD5461B" w14:textId="77777777" w:rsidTr="003616B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630D195C" w14:textId="77777777" w:rsidR="003616B5" w:rsidRDefault="003616B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Letališča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892D350" w14:textId="77777777" w:rsidR="003616B5" w:rsidRDefault="003616B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3C16554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D590303" w14:textId="77777777" w:rsidR="003616B5" w:rsidRDefault="003616B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0</w:t>
            </w:r>
          </w:p>
        </w:tc>
      </w:tr>
      <w:tr w:rsidR="003616B5" w14:paraId="135AA579" w14:textId="77777777" w:rsidTr="003616B5">
        <w:trPr>
          <w:trHeight w:val="21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669A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1841" w14:textId="77777777" w:rsidR="003616B5" w:rsidRDefault="003616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6E9F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B104" w14:textId="77777777" w:rsidR="003616B5" w:rsidRDefault="003616B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46FE1C4C" w14:textId="1D905B54" w:rsidR="003616B5" w:rsidRDefault="003616B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B12B27C" w14:textId="14C74316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8E57DE">
        <w:rPr>
          <w:rFonts w:ascii="Arial" w:hAnsi="Arial" w:cs="Arial"/>
          <w:sz w:val="20"/>
        </w:rPr>
        <w:t>2</w:t>
      </w:r>
      <w:r w:rsidR="007B795B" w:rsidRPr="00806546">
        <w:rPr>
          <w:rFonts w:ascii="Arial" w:hAnsi="Arial" w:cs="Arial"/>
          <w:sz w:val="20"/>
        </w:rPr>
        <w:t>,</w:t>
      </w:r>
      <w:r w:rsidR="008E57DE">
        <w:rPr>
          <w:rFonts w:ascii="Arial" w:hAnsi="Arial" w:cs="Arial"/>
          <w:sz w:val="20"/>
        </w:rPr>
        <w:t>7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EA4923" w:rsidRPr="00806546">
        <w:rPr>
          <w:rFonts w:ascii="Arial" w:hAnsi="Arial" w:cs="Arial"/>
          <w:sz w:val="20"/>
        </w:rPr>
        <w:t>8</w:t>
      </w:r>
      <w:r w:rsidR="00371AB9">
        <w:rPr>
          <w:rFonts w:ascii="Arial" w:hAnsi="Arial" w:cs="Arial"/>
          <w:sz w:val="20"/>
        </w:rPr>
        <w:t>6</w:t>
      </w:r>
      <w:r w:rsidR="00E00517" w:rsidRPr="00806546">
        <w:rPr>
          <w:rFonts w:ascii="Arial" w:hAnsi="Arial" w:cs="Arial"/>
          <w:sz w:val="20"/>
        </w:rPr>
        <w:t>,</w:t>
      </w:r>
      <w:r w:rsidR="00CC7D8A">
        <w:rPr>
          <w:rFonts w:ascii="Arial" w:hAnsi="Arial" w:cs="Arial"/>
          <w:sz w:val="20"/>
        </w:rPr>
        <w:t>7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5330"/>
      </w:tblGrid>
      <w:tr w:rsidR="008E57DE" w:rsidRPr="00806546" w14:paraId="2CEA4563" w14:textId="77777777" w:rsidTr="00CC7D8A">
        <w:trPr>
          <w:trHeight w:val="508"/>
        </w:trPr>
        <w:tc>
          <w:tcPr>
            <w:tcW w:w="4940" w:type="dxa"/>
          </w:tcPr>
          <w:p w14:paraId="775616A3" w14:textId="7C970E25" w:rsidR="009E4529" w:rsidRPr="00806546" w:rsidRDefault="008E57DE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A069AC0" wp14:editId="268F3EE0">
                  <wp:extent cx="3035300" cy="1752600"/>
                  <wp:effectExtent l="0" t="0" r="12700" b="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330" w:type="dxa"/>
          </w:tcPr>
          <w:p w14:paraId="3CAF5204" w14:textId="516CFD4D" w:rsidR="009E4529" w:rsidRPr="00806546" w:rsidRDefault="00CC7D8A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D3E5A39" wp14:editId="7E4546BD">
                  <wp:extent cx="3282950" cy="1752600"/>
                  <wp:effectExtent l="0" t="0" r="12700" b="0"/>
                  <wp:docPr id="6" name="Grafiko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15397FE2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4C461F">
        <w:rPr>
          <w:rFonts w:ascii="Arial" w:hAnsi="Arial" w:cs="Arial"/>
          <w:sz w:val="20"/>
        </w:rPr>
        <w:t>1</w:t>
      </w:r>
      <w:r w:rsidR="008E57DE">
        <w:rPr>
          <w:rFonts w:ascii="Arial" w:hAnsi="Arial" w:cs="Arial"/>
          <w:sz w:val="20"/>
        </w:rPr>
        <w:t>7</w:t>
      </w:r>
      <w:r w:rsidR="00B357D9" w:rsidRPr="00806546">
        <w:rPr>
          <w:rFonts w:ascii="Arial" w:hAnsi="Arial" w:cs="Arial"/>
          <w:sz w:val="20"/>
        </w:rPr>
        <w:t>.</w:t>
      </w:r>
      <w:r w:rsidR="008E57DE">
        <w:rPr>
          <w:rFonts w:ascii="Arial" w:hAnsi="Arial" w:cs="Arial"/>
          <w:sz w:val="20"/>
        </w:rPr>
        <w:t>274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B22D11" w:rsidRPr="00806546">
        <w:rPr>
          <w:rFonts w:ascii="Arial" w:hAnsi="Arial" w:cs="Arial"/>
          <w:sz w:val="20"/>
        </w:rPr>
        <w:t>4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4C461F">
        <w:rPr>
          <w:rFonts w:ascii="Arial" w:hAnsi="Arial" w:cs="Arial"/>
          <w:sz w:val="20"/>
        </w:rPr>
        <w:t>3</w:t>
      </w:r>
      <w:r w:rsidR="008E57DE">
        <w:rPr>
          <w:rFonts w:ascii="Arial" w:hAnsi="Arial" w:cs="Arial"/>
          <w:sz w:val="20"/>
        </w:rPr>
        <w:t>5</w:t>
      </w:r>
      <w:r w:rsidR="009A5E95" w:rsidRPr="00806546">
        <w:rPr>
          <w:rFonts w:ascii="Arial" w:hAnsi="Arial" w:cs="Arial"/>
          <w:sz w:val="20"/>
        </w:rPr>
        <w:t>.</w:t>
      </w:r>
      <w:r w:rsidR="008E57DE">
        <w:rPr>
          <w:rFonts w:ascii="Arial" w:hAnsi="Arial" w:cs="Arial"/>
          <w:sz w:val="20"/>
        </w:rPr>
        <w:t>8</w:t>
      </w:r>
      <w:r w:rsidR="004C461F">
        <w:rPr>
          <w:rFonts w:ascii="Arial" w:hAnsi="Arial" w:cs="Arial"/>
          <w:sz w:val="20"/>
        </w:rPr>
        <w:t>2</w:t>
      </w:r>
      <w:r w:rsidR="008E57DE">
        <w:rPr>
          <w:rFonts w:ascii="Arial" w:hAnsi="Arial" w:cs="Arial"/>
          <w:sz w:val="20"/>
        </w:rPr>
        <w:t>6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59EBB8B2" w14:textId="7A6AEB44" w:rsidR="008E57DE" w:rsidRDefault="008E57DE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72D08111" wp14:editId="1446AD28">
            <wp:extent cx="5759450" cy="3168015"/>
            <wp:effectExtent l="0" t="0" r="12700" b="1333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40FD91" w14:textId="6484762B" w:rsidR="00B60A8E" w:rsidRDefault="00B60A8E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48B64A21" w14:textId="77777777" w:rsidR="008E57DE" w:rsidRDefault="008E57DE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41A01C47" w14:textId="77777777" w:rsidR="004C461F" w:rsidRDefault="004C461F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lastRenderedPageBreak/>
        <w:t xml:space="preserve">Nedovoljeno prebivanje </w:t>
      </w:r>
    </w:p>
    <w:p w14:paraId="69B29E32" w14:textId="31136FEE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E3530B">
        <w:rPr>
          <w:rFonts w:ascii="Arial" w:hAnsi="Arial" w:cs="Arial"/>
          <w:sz w:val="20"/>
        </w:rPr>
        <w:t>1.</w:t>
      </w:r>
      <w:r w:rsidR="004C461F">
        <w:rPr>
          <w:rFonts w:ascii="Arial" w:hAnsi="Arial" w:cs="Arial"/>
          <w:sz w:val="20"/>
        </w:rPr>
        <w:t>5</w:t>
      </w:r>
      <w:r w:rsidR="00AC5927">
        <w:rPr>
          <w:rFonts w:ascii="Arial" w:hAnsi="Arial" w:cs="Arial"/>
          <w:sz w:val="20"/>
        </w:rPr>
        <w:t>88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B22D11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4C461F">
        <w:rPr>
          <w:rFonts w:ascii="Arial" w:hAnsi="Arial" w:cs="Arial"/>
          <w:sz w:val="20"/>
        </w:rPr>
        <w:t>1.</w:t>
      </w:r>
      <w:r w:rsidR="00AC5927">
        <w:rPr>
          <w:rFonts w:ascii="Arial" w:hAnsi="Arial" w:cs="Arial"/>
          <w:sz w:val="20"/>
        </w:rPr>
        <w:t>33</w:t>
      </w:r>
      <w:r w:rsidR="004C461F">
        <w:rPr>
          <w:rFonts w:ascii="Arial" w:hAnsi="Arial" w:cs="Arial"/>
          <w:sz w:val="20"/>
        </w:rPr>
        <w:t>1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AC5927" w14:paraId="2019D46D" w14:textId="77777777" w:rsidTr="00AC5927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7C2F688" w14:textId="77777777" w:rsidR="00AC5927" w:rsidRDefault="00AC592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D788A1C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045731B0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AC5927" w14:paraId="4C789032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9F728E0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9E7D398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DAD4D3B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1.588</w:t>
            </w:r>
          </w:p>
        </w:tc>
      </w:tr>
      <w:tr w:rsidR="00AC5927" w14:paraId="1474B770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40BE1B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6C9F9E2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D843868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</w:t>
            </w:r>
          </w:p>
        </w:tc>
      </w:tr>
      <w:tr w:rsidR="00AC5927" w14:paraId="63A688CD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AE0C5E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1D5355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12ADE9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299</w:t>
            </w:r>
          </w:p>
        </w:tc>
      </w:tr>
      <w:tr w:rsidR="00AC5927" w14:paraId="6CCF9316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DB136B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D84956A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64B710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</w:tr>
      <w:tr w:rsidR="00AC5927" w14:paraId="5B62F567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4AAEA0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1A15CE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C3460C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</w:tr>
      <w:tr w:rsidR="00AC5927" w14:paraId="5D044C6B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6D4F59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8A0EDB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68B569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</w:tr>
      <w:tr w:rsidR="00AC5927" w14:paraId="26C81768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F48575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B09227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E3A1E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</w:tr>
      <w:tr w:rsidR="00AC5927" w14:paraId="6D9B877D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36B27E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6A7113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480D5EB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</w:tr>
      <w:tr w:rsidR="00AC5927" w14:paraId="4FEC1E5D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A9AE91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9A905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A15FFC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</w:tr>
      <w:tr w:rsidR="00AC5927" w14:paraId="340BDD8F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55AB21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92E68E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A3C00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</w:tr>
      <w:tr w:rsidR="00AC5927" w14:paraId="1A7D6E26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63F962F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715DB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26259A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AC5927" w14:paraId="163E0671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8F75C2E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982947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745717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</w:tr>
    </w:tbl>
    <w:p w14:paraId="627B9E98" w14:textId="77777777" w:rsidR="00AC5927" w:rsidRDefault="00AC5927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2A24D7E8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5AD76A94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AC5927">
        <w:rPr>
          <w:rFonts w:ascii="Arial" w:hAnsi="Arial" w:cs="Arial"/>
          <w:sz w:val="20"/>
        </w:rPr>
        <w:t>94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DB7FF5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AC5927">
        <w:rPr>
          <w:rFonts w:ascii="Arial" w:hAnsi="Arial" w:cs="Arial"/>
          <w:sz w:val="20"/>
        </w:rPr>
        <w:t>117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AC5927" w14:paraId="15CEFCEC" w14:textId="77777777" w:rsidTr="00AC5927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FC30588" w14:textId="77777777" w:rsidR="00AC5927" w:rsidRDefault="00AC592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7B8226C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E0D785A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AC5927" w14:paraId="19CC0299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0C9B6B0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5724652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C007D19" w14:textId="77777777" w:rsidR="00AC5927" w:rsidRDefault="00AC5927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94</w:t>
            </w:r>
          </w:p>
        </w:tc>
      </w:tr>
      <w:tr w:rsidR="00AC5927" w14:paraId="53CF66B1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8C6B3E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FB0430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BDC7708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AC5927" w14:paraId="63472E06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6A366A5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A5B9AE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D13E13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C5927" w14:paraId="6835C60C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BD9530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1139B0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DEFA51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AC5927" w14:paraId="15E52692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FBA548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009CB6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888DF23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AC5927" w14:paraId="05919AE0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057540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36FD34B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409C32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AC5927" w14:paraId="4616DD02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DEF2AB6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466FD2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83C8DB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AC5927" w14:paraId="1E2FE5E5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629830B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953DB9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6DBE72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C5927" w14:paraId="22FC391F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934ACC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A94E52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2E944D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C5927" w14:paraId="07F07628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282A83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F3ABAC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0DB548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C5927" w14:paraId="497A0362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F19EB2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61D50E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372B03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C5927" w14:paraId="0A320080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E092A7" w14:textId="77777777" w:rsidR="00AC5927" w:rsidRDefault="00AC59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66F886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58D6B7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AC5927" w14:paraId="241BEBD4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49F60F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F7162D6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BE966DC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C5927" w14:paraId="1F24E44F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32D8B0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FAFCC60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640630D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AC5927" w14:paraId="62968B82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576478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B62B27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BA27606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AC5927" w14:paraId="0CCF87A4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72F76F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98B24C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A0FD79D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AC5927" w14:paraId="0D33A582" w14:textId="77777777" w:rsidTr="00AC5927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935DBF" w14:textId="77777777" w:rsidR="00AC5927" w:rsidRDefault="00AC59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0802096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E6ED6CF" w14:textId="77777777" w:rsidR="00AC5927" w:rsidRDefault="00AC592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</w:tbl>
    <w:p w14:paraId="1DC19EB2" w14:textId="1189DBBE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lastRenderedPageBreak/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24DD0870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A82DD1">
        <w:rPr>
          <w:rFonts w:ascii="Arial" w:hAnsi="Arial" w:cs="Arial"/>
          <w:b w:val="0"/>
        </w:rPr>
        <w:t>2</w:t>
      </w:r>
      <w:r w:rsidR="00AC5927">
        <w:rPr>
          <w:rFonts w:ascii="Arial" w:hAnsi="Arial" w:cs="Arial"/>
          <w:b w:val="0"/>
        </w:rPr>
        <w:t>6</w:t>
      </w:r>
      <w:r w:rsidR="00A82DD1">
        <w:rPr>
          <w:rFonts w:ascii="Arial" w:hAnsi="Arial" w:cs="Arial"/>
          <w:b w:val="0"/>
        </w:rPr>
        <w:t>1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5B0B35" w:rsidRPr="00806546">
        <w:rPr>
          <w:rFonts w:ascii="Arial" w:hAnsi="Arial" w:cs="Arial"/>
          <w:b w:val="0"/>
        </w:rPr>
        <w:t>4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A82DD1">
        <w:rPr>
          <w:rFonts w:ascii="Arial" w:hAnsi="Arial" w:cs="Arial"/>
          <w:b w:val="0"/>
        </w:rPr>
        <w:t>1</w:t>
      </w:r>
      <w:r w:rsidR="00AC5927">
        <w:rPr>
          <w:rFonts w:ascii="Arial" w:hAnsi="Arial" w:cs="Arial"/>
          <w:b w:val="0"/>
        </w:rPr>
        <w:t>88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CC7D8A" w14:paraId="73328F33" w14:textId="77777777" w:rsidTr="00CC7D8A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D220EBC" w14:textId="77777777" w:rsidR="00CC7D8A" w:rsidRDefault="00CC7D8A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E9C07AE" w14:textId="77777777" w:rsidR="00CC7D8A" w:rsidRDefault="00CC7D8A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2DF7FB2" w14:textId="77777777" w:rsidR="00CC7D8A" w:rsidRDefault="00CC7D8A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CC7D8A" w14:paraId="6F459755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5AC98ED" w14:textId="77777777" w:rsidR="00CC7D8A" w:rsidRDefault="00CC7D8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973B09C" w14:textId="77777777" w:rsidR="00CC7D8A" w:rsidRDefault="00CC7D8A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64B3BE4" w14:textId="77777777" w:rsidR="00CC7D8A" w:rsidRDefault="00CC7D8A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261</w:t>
            </w:r>
          </w:p>
        </w:tc>
      </w:tr>
      <w:tr w:rsidR="00CC7D8A" w14:paraId="6C0ED1B9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CB7B3C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43813E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C1F633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CC7D8A" w14:paraId="30A8930B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90A630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443C34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C67CA5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</w:tr>
      <w:tr w:rsidR="00CC7D8A" w14:paraId="68793466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E1DE350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A6577D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775809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CC7D8A" w14:paraId="7301164F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DC12D0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CA5C4C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B43CC49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CC7D8A" w14:paraId="7DEC8A0E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C1D667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4AF115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0F66EE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CC7D8A" w14:paraId="6C5B0FD7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67933DE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C7C45C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4C4C8DF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CC7D8A" w14:paraId="29CD8DC2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7B9C78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2EA10E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0E55A7E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CC7D8A" w14:paraId="3DCDE040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C41A3A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2EF93C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01C6EA7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CC7D8A" w14:paraId="059C1ACE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20BA17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8FB8BA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AEB67F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C7D8A" w14:paraId="2D275E2E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BCFD45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4D0EE3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411DF8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C7D8A" w14:paraId="3CA59092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54CF32" w14:textId="77777777" w:rsidR="00CC7D8A" w:rsidRDefault="00CC7D8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9D8BC2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0735BD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</w:tr>
      <w:tr w:rsidR="00CC7D8A" w14:paraId="34FF1B23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A7F3A7" w14:textId="77777777" w:rsidR="00CC7D8A" w:rsidRDefault="00CC7D8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3B1380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967FA6E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</w:tr>
      <w:tr w:rsidR="00CC7D8A" w14:paraId="45991AB3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C0EB00" w14:textId="77777777" w:rsidR="00CC7D8A" w:rsidRDefault="00CC7D8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9043E4F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2D73855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C7D8A" w14:paraId="26A1B100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DA22EC1" w14:textId="77777777" w:rsidR="00CC7D8A" w:rsidRDefault="00CC7D8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1E860E7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ADA5FFF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CC7D8A" w14:paraId="7FAB92E2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100E1D" w14:textId="77777777" w:rsidR="00CC7D8A" w:rsidRDefault="00CC7D8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6FA4275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9D446C4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</w:tr>
      <w:tr w:rsidR="00CC7D8A" w14:paraId="51D4172E" w14:textId="77777777" w:rsidTr="00CC7D8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2EE574" w14:textId="77777777" w:rsidR="00CC7D8A" w:rsidRDefault="00CC7D8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6258EFF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EBB038" w14:textId="77777777" w:rsidR="00CC7D8A" w:rsidRDefault="00CC7D8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724B39DB" w14:textId="77777777" w:rsidR="00CC7D8A" w:rsidRDefault="00CC7D8A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Tahoma" w:hAnsi="Tahoma" w:cs="Tahoma"/>
          <w:bCs/>
          <w:color w:val="FFFFFF"/>
          <w:sz w:val="16"/>
          <w:szCs w:val="16"/>
        </w:rPr>
      </w:pPr>
    </w:p>
    <w:p w14:paraId="5399FEFC" w14:textId="4A13BD1F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Opombe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2F14F23A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5E2C39">
        <w:rPr>
          <w:rFonts w:ascii="Arial" w:hAnsi="Arial" w:cs="Arial"/>
          <w:b w:val="0"/>
        </w:rPr>
        <w:t>20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5E2C39">
        <w:rPr>
          <w:rFonts w:ascii="Arial" w:hAnsi="Arial" w:cs="Arial"/>
          <w:b w:val="0"/>
        </w:rPr>
        <w:t>10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8965BD" w:rsidRPr="00806546">
        <w:rPr>
          <w:rFonts w:ascii="Arial" w:hAnsi="Arial" w:cs="Arial"/>
          <w:b w:val="0"/>
        </w:rPr>
        <w:t>5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0AB4E2CA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F356FC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101BB1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1851"/>
    <w:rsid w:val="00272478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13D0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BA0"/>
    <w:rsid w:val="006642B7"/>
    <w:rsid w:val="0066463A"/>
    <w:rsid w:val="0066539E"/>
    <w:rsid w:val="00666633"/>
    <w:rsid w:val="00667606"/>
    <w:rsid w:val="0067249D"/>
    <w:rsid w:val="00676605"/>
    <w:rsid w:val="006825B4"/>
    <w:rsid w:val="00682763"/>
    <w:rsid w:val="006837C2"/>
    <w:rsid w:val="00683C2E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52355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A3EA5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6FC"/>
    <w:rsid w:val="00F35EF6"/>
    <w:rsid w:val="00F36056"/>
    <w:rsid w:val="00F40B68"/>
    <w:rsid w:val="00F40D9C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MS</c:v>
                </c:pt>
                <c:pt idx="3">
                  <c:v>LJ</c:v>
                </c:pt>
                <c:pt idx="4">
                  <c:v>MB</c:v>
                </c:pt>
                <c:pt idx="5">
                  <c:v>CE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31585</c:v>
                </c:pt>
                <c:pt idx="1">
                  <c:v>1549</c:v>
                </c:pt>
                <c:pt idx="2">
                  <c:v>235</c:v>
                </c:pt>
                <c:pt idx="3">
                  <c:v>819</c:v>
                </c:pt>
                <c:pt idx="4">
                  <c:v>2049</c:v>
                </c:pt>
                <c:pt idx="5">
                  <c:v>541</c:v>
                </c:pt>
                <c:pt idx="6">
                  <c:v>367</c:v>
                </c:pt>
                <c:pt idx="7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A-4187-8B67-928C7B0327C9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MS</c:v>
                </c:pt>
                <c:pt idx="3">
                  <c:v>LJ</c:v>
                </c:pt>
                <c:pt idx="4">
                  <c:v>MB</c:v>
                </c:pt>
                <c:pt idx="5">
                  <c:v>CE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14155</c:v>
                </c:pt>
                <c:pt idx="1">
                  <c:v>1844</c:v>
                </c:pt>
                <c:pt idx="2">
                  <c:v>1409</c:v>
                </c:pt>
                <c:pt idx="3">
                  <c:v>819</c:v>
                </c:pt>
                <c:pt idx="4">
                  <c:v>530</c:v>
                </c:pt>
                <c:pt idx="5">
                  <c:v>343</c:v>
                </c:pt>
                <c:pt idx="6">
                  <c:v>326</c:v>
                </c:pt>
                <c:pt idx="7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A-4187-8B67-928C7B032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36310</c:v>
                </c:pt>
                <c:pt idx="1">
                  <c:v>139</c:v>
                </c:pt>
                <c:pt idx="2">
                  <c:v>660</c:v>
                </c:pt>
                <c:pt idx="3">
                  <c:v>110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F2-4356-A89F-B4E0AC3E9C26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16882</c:v>
                </c:pt>
                <c:pt idx="1">
                  <c:v>1418</c:v>
                </c:pt>
                <c:pt idx="2">
                  <c:v>1052</c:v>
                </c:pt>
                <c:pt idx="3">
                  <c:v>119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F2-4356-A89F-B4E0AC3E9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Egipt</c:v>
                </c:pt>
                <c:pt idx="3">
                  <c:v>Maroko</c:v>
                </c:pt>
                <c:pt idx="4">
                  <c:v>Turčija</c:v>
                </c:pt>
                <c:pt idx="5">
                  <c:v>Sirija</c:v>
                </c:pt>
                <c:pt idx="6">
                  <c:v>Pakistan</c:v>
                </c:pt>
                <c:pt idx="7">
                  <c:v>Kitajska</c:v>
                </c:pt>
                <c:pt idx="8">
                  <c:v>Nepal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5696</c:v>
                </c:pt>
                <c:pt idx="1">
                  <c:v>1697</c:v>
                </c:pt>
                <c:pt idx="2">
                  <c:v>1191</c:v>
                </c:pt>
                <c:pt idx="3">
                  <c:v>2721</c:v>
                </c:pt>
                <c:pt idx="4">
                  <c:v>3279</c:v>
                </c:pt>
                <c:pt idx="5">
                  <c:v>12979</c:v>
                </c:pt>
                <c:pt idx="6">
                  <c:v>1532</c:v>
                </c:pt>
                <c:pt idx="7">
                  <c:v>369</c:v>
                </c:pt>
                <c:pt idx="8">
                  <c:v>926</c:v>
                </c:pt>
                <c:pt idx="9" formatCode="General">
                  <c:v>1219</c:v>
                </c:pt>
                <c:pt idx="10">
                  <c:v>4217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E-4BDA-B092-1961B903B957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Egipt</c:v>
                </c:pt>
                <c:pt idx="3">
                  <c:v>Maroko</c:v>
                </c:pt>
                <c:pt idx="4">
                  <c:v>Turčija</c:v>
                </c:pt>
                <c:pt idx="5">
                  <c:v>Sirija</c:v>
                </c:pt>
                <c:pt idx="6">
                  <c:v>Pakistan</c:v>
                </c:pt>
                <c:pt idx="7">
                  <c:v>Kitajska</c:v>
                </c:pt>
                <c:pt idx="8">
                  <c:v>Nepal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2490</c:v>
                </c:pt>
                <c:pt idx="1">
                  <c:v>2294</c:v>
                </c:pt>
                <c:pt idx="2">
                  <c:v>2205</c:v>
                </c:pt>
                <c:pt idx="3">
                  <c:v>2021</c:v>
                </c:pt>
                <c:pt idx="4">
                  <c:v>1244</c:v>
                </c:pt>
                <c:pt idx="5">
                  <c:v>1156</c:v>
                </c:pt>
                <c:pt idx="6">
                  <c:v>1141</c:v>
                </c:pt>
                <c:pt idx="7">
                  <c:v>658</c:v>
                </c:pt>
                <c:pt idx="8">
                  <c:v>588</c:v>
                </c:pt>
                <c:pt idx="9">
                  <c:v>557</c:v>
                </c:pt>
                <c:pt idx="10">
                  <c:v>2920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0E-4BDA-B092-1961B903B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192FA1-98C6-4E5B-8DF7-AA833295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2025-10-21T09:33:00Z</dcterms:created>
  <dcterms:modified xsi:type="dcterms:W3CDTF">2025-10-21T09:33:00Z</dcterms:modified>
</cp:coreProperties>
</file>